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94D48E9" w:rsidR="00E66558" w:rsidRPr="004A56C6" w:rsidRDefault="009D71E8">
      <w:pPr>
        <w:pStyle w:val="Heading1"/>
        <w:rPr>
          <w:sz w:val="20"/>
          <w:szCs w:val="20"/>
        </w:rPr>
      </w:pPr>
      <w:bookmarkStart w:id="0" w:name="_Toc400361362"/>
      <w:bookmarkStart w:id="1" w:name="_Toc443397153"/>
      <w:bookmarkStart w:id="2" w:name="_Toc357771638"/>
      <w:bookmarkStart w:id="3" w:name="_Toc346793416"/>
      <w:bookmarkStart w:id="4" w:name="_Toc328122777"/>
      <w:r w:rsidRPr="004A56C6">
        <w:rPr>
          <w:sz w:val="20"/>
          <w:szCs w:val="2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064C396" w:rsidR="00E66558" w:rsidRPr="004A56C6" w:rsidRDefault="009D71E8">
      <w:pPr>
        <w:pStyle w:val="Heading2"/>
        <w:rPr>
          <w:b w:val="0"/>
          <w:bCs/>
          <w:color w:val="auto"/>
          <w:sz w:val="20"/>
          <w:szCs w:val="20"/>
        </w:rPr>
      </w:pPr>
      <w:r w:rsidRPr="004A56C6">
        <w:rPr>
          <w:b w:val="0"/>
          <w:bCs/>
          <w:color w:val="auto"/>
          <w:sz w:val="20"/>
          <w:szCs w:val="20"/>
        </w:rPr>
        <w:t>This statement details our school’s use of pupil premium (and recovery premium for the 202</w:t>
      </w:r>
      <w:r w:rsidR="005D7DBB">
        <w:rPr>
          <w:b w:val="0"/>
          <w:bCs/>
          <w:color w:val="auto"/>
          <w:sz w:val="20"/>
          <w:szCs w:val="20"/>
        </w:rPr>
        <w:t>3</w:t>
      </w:r>
      <w:r w:rsidRPr="004A56C6">
        <w:rPr>
          <w:b w:val="0"/>
          <w:bCs/>
          <w:color w:val="auto"/>
          <w:sz w:val="20"/>
          <w:szCs w:val="20"/>
        </w:rPr>
        <w:t xml:space="preserve"> to 202</w:t>
      </w:r>
      <w:r w:rsidR="005D7DBB">
        <w:rPr>
          <w:b w:val="0"/>
          <w:bCs/>
          <w:color w:val="auto"/>
          <w:sz w:val="20"/>
          <w:szCs w:val="20"/>
        </w:rPr>
        <w:t>4</w:t>
      </w:r>
      <w:r w:rsidRPr="004A56C6">
        <w:rPr>
          <w:b w:val="0"/>
          <w:bCs/>
          <w:color w:val="auto"/>
          <w:sz w:val="20"/>
          <w:szCs w:val="20"/>
        </w:rPr>
        <w:t xml:space="preserve"> academic year) funding to help improve the attainment of our disadvantaged pupils. </w:t>
      </w:r>
    </w:p>
    <w:p w14:paraId="2A7D54B3" w14:textId="77777777" w:rsidR="00E66558" w:rsidRPr="004A56C6" w:rsidRDefault="009D71E8">
      <w:pPr>
        <w:pStyle w:val="Heading2"/>
        <w:spacing w:before="240"/>
        <w:rPr>
          <w:b w:val="0"/>
          <w:bCs/>
          <w:color w:val="auto"/>
          <w:sz w:val="20"/>
          <w:szCs w:val="20"/>
        </w:rPr>
      </w:pPr>
      <w:r w:rsidRPr="004A56C6">
        <w:rPr>
          <w:b w:val="0"/>
          <w:bCs/>
          <w:color w:val="auto"/>
          <w:sz w:val="20"/>
          <w:szCs w:val="20"/>
        </w:rPr>
        <w:t xml:space="preserve">It outlines our pupil premium strategy, how we intend to spend the funding in this academic year and the effect that last year’s spending of pupil premium had within our school. </w:t>
      </w:r>
    </w:p>
    <w:p w14:paraId="2A7D54B4" w14:textId="77777777" w:rsidR="00E66558" w:rsidRPr="004A56C6" w:rsidRDefault="009D71E8">
      <w:pPr>
        <w:pStyle w:val="Heading2"/>
        <w:rPr>
          <w:sz w:val="20"/>
          <w:szCs w:val="20"/>
        </w:rPr>
      </w:pPr>
      <w:r w:rsidRPr="004A56C6">
        <w:rPr>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4A56C6"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4A56C6" w:rsidRDefault="009D71E8">
            <w:pPr>
              <w:pStyle w:val="TableHeader"/>
              <w:jc w:val="left"/>
              <w:rPr>
                <w:sz w:val="20"/>
                <w:szCs w:val="20"/>
              </w:rPr>
            </w:pPr>
            <w:r w:rsidRPr="004A56C6">
              <w:rPr>
                <w:sz w:val="20"/>
                <w:szCs w:val="2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4A56C6" w:rsidRDefault="009D71E8">
            <w:pPr>
              <w:pStyle w:val="TableHeader"/>
              <w:jc w:val="left"/>
              <w:rPr>
                <w:sz w:val="20"/>
                <w:szCs w:val="20"/>
              </w:rPr>
            </w:pPr>
            <w:r w:rsidRPr="004A56C6">
              <w:rPr>
                <w:sz w:val="20"/>
                <w:szCs w:val="20"/>
              </w:rPr>
              <w:t>Data</w:t>
            </w:r>
          </w:p>
        </w:tc>
      </w:tr>
      <w:tr w:rsidR="00E66558" w:rsidRPr="004A56C6"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4A56C6" w:rsidRDefault="009D71E8">
            <w:pPr>
              <w:pStyle w:val="TableRow"/>
              <w:rPr>
                <w:sz w:val="20"/>
                <w:szCs w:val="20"/>
              </w:rPr>
            </w:pPr>
            <w:r w:rsidRPr="004A56C6">
              <w:rPr>
                <w:sz w:val="20"/>
                <w:szCs w:val="20"/>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649DCEE" w:rsidR="00E66558" w:rsidRPr="004A56C6" w:rsidRDefault="009A13EE">
            <w:pPr>
              <w:pStyle w:val="TableRow"/>
              <w:rPr>
                <w:sz w:val="20"/>
                <w:szCs w:val="20"/>
              </w:rPr>
            </w:pPr>
            <w:r w:rsidRPr="004A56C6">
              <w:rPr>
                <w:sz w:val="20"/>
                <w:szCs w:val="20"/>
              </w:rPr>
              <w:t>Hunter’s Bar Junior School</w:t>
            </w:r>
          </w:p>
        </w:tc>
      </w:tr>
      <w:tr w:rsidR="00E66558" w:rsidRPr="004A56C6"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4A56C6" w:rsidRDefault="009D71E8">
            <w:pPr>
              <w:pStyle w:val="TableRow"/>
              <w:rPr>
                <w:sz w:val="20"/>
                <w:szCs w:val="20"/>
              </w:rPr>
            </w:pPr>
            <w:r w:rsidRPr="004A56C6">
              <w:rPr>
                <w:sz w:val="20"/>
                <w:szCs w:val="20"/>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1678601" w:rsidR="00E66558" w:rsidRPr="00DF4361" w:rsidRDefault="000D41CE">
            <w:pPr>
              <w:pStyle w:val="TableRow"/>
              <w:rPr>
                <w:sz w:val="20"/>
                <w:szCs w:val="20"/>
              </w:rPr>
            </w:pPr>
            <w:r w:rsidRPr="00DF4361">
              <w:rPr>
                <w:sz w:val="20"/>
                <w:szCs w:val="20"/>
              </w:rPr>
              <w:t>36</w:t>
            </w:r>
            <w:r w:rsidR="00DF4361" w:rsidRPr="00DF4361">
              <w:rPr>
                <w:sz w:val="20"/>
                <w:szCs w:val="20"/>
              </w:rPr>
              <w:t>3</w:t>
            </w:r>
          </w:p>
        </w:tc>
      </w:tr>
      <w:tr w:rsidR="00E66558" w:rsidRPr="004A56C6"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4A56C6" w:rsidRDefault="009D71E8">
            <w:pPr>
              <w:pStyle w:val="TableRow"/>
              <w:rPr>
                <w:sz w:val="20"/>
                <w:szCs w:val="20"/>
              </w:rPr>
            </w:pPr>
            <w:r w:rsidRPr="004A56C6">
              <w:rPr>
                <w:sz w:val="20"/>
                <w:szCs w:val="20"/>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9D3E" w14:textId="77777777" w:rsidR="00E66558" w:rsidRDefault="004403DB">
            <w:pPr>
              <w:pStyle w:val="TableRow"/>
              <w:rPr>
                <w:sz w:val="20"/>
                <w:szCs w:val="20"/>
              </w:rPr>
            </w:pPr>
            <w:r w:rsidRPr="00DF4361">
              <w:rPr>
                <w:sz w:val="20"/>
                <w:szCs w:val="20"/>
              </w:rPr>
              <w:t xml:space="preserve">52 children </w:t>
            </w:r>
            <w:r w:rsidR="00DF4361" w:rsidRPr="00DF4361">
              <w:rPr>
                <w:sz w:val="20"/>
                <w:szCs w:val="20"/>
              </w:rPr>
              <w:t>14</w:t>
            </w:r>
            <w:r w:rsidR="00035740" w:rsidRPr="00DF4361">
              <w:rPr>
                <w:sz w:val="20"/>
                <w:szCs w:val="20"/>
              </w:rPr>
              <w:t>%</w:t>
            </w:r>
          </w:p>
          <w:p w14:paraId="2A7D54BF" w14:textId="79080BE3" w:rsidR="00D50DD1" w:rsidRPr="00DF4361" w:rsidRDefault="00D50DD1">
            <w:pPr>
              <w:pStyle w:val="TableRow"/>
              <w:rPr>
                <w:sz w:val="20"/>
                <w:szCs w:val="20"/>
              </w:rPr>
            </w:pPr>
            <w:r>
              <w:rPr>
                <w:sz w:val="20"/>
                <w:szCs w:val="20"/>
              </w:rPr>
              <w:t>3 CLA</w:t>
            </w:r>
          </w:p>
        </w:tc>
      </w:tr>
      <w:tr w:rsidR="00E66558" w:rsidRPr="004A56C6"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4A56C6" w:rsidRDefault="009D71E8">
            <w:pPr>
              <w:pStyle w:val="TableRow"/>
              <w:rPr>
                <w:sz w:val="20"/>
                <w:szCs w:val="20"/>
              </w:rPr>
            </w:pPr>
            <w:r w:rsidRPr="004A56C6">
              <w:rPr>
                <w:sz w:val="20"/>
                <w:szCs w:val="20"/>
              </w:rPr>
              <w:t xml:space="preserve">Academic year/years that our current pupil premium strategy plan covers </w:t>
            </w:r>
            <w:r w:rsidRPr="004A56C6">
              <w:rPr>
                <w:b/>
                <w:bCs/>
                <w:sz w:val="20"/>
                <w:szCs w:val="20"/>
              </w:rPr>
              <w:t>(</w:t>
            </w:r>
            <w:proofErr w:type="gramStart"/>
            <w:r w:rsidRPr="004A56C6">
              <w:rPr>
                <w:b/>
                <w:bCs/>
                <w:sz w:val="20"/>
                <w:szCs w:val="20"/>
              </w:rPr>
              <w:t>3 year</w:t>
            </w:r>
            <w:proofErr w:type="gramEnd"/>
            <w:r w:rsidRPr="004A56C6">
              <w:rPr>
                <w:b/>
                <w:bCs/>
                <w:sz w:val="20"/>
                <w:szCs w:val="20"/>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B165E3F" w:rsidR="00E66558" w:rsidRPr="004A56C6" w:rsidRDefault="00ED3B29">
            <w:pPr>
              <w:pStyle w:val="TableRow"/>
              <w:rPr>
                <w:sz w:val="20"/>
                <w:szCs w:val="20"/>
              </w:rPr>
            </w:pPr>
            <w:r w:rsidRPr="004A56C6">
              <w:rPr>
                <w:sz w:val="20"/>
                <w:szCs w:val="20"/>
              </w:rPr>
              <w:t>202</w:t>
            </w:r>
            <w:r w:rsidR="005D7DBB">
              <w:rPr>
                <w:sz w:val="20"/>
                <w:szCs w:val="20"/>
              </w:rPr>
              <w:t>3</w:t>
            </w:r>
            <w:r w:rsidRPr="004A56C6">
              <w:rPr>
                <w:sz w:val="20"/>
                <w:szCs w:val="20"/>
              </w:rPr>
              <w:t>/2</w:t>
            </w:r>
            <w:r w:rsidR="005D7DBB">
              <w:rPr>
                <w:sz w:val="20"/>
                <w:szCs w:val="20"/>
              </w:rPr>
              <w:t>4</w:t>
            </w:r>
            <w:r w:rsidRPr="004A56C6">
              <w:rPr>
                <w:sz w:val="20"/>
                <w:szCs w:val="20"/>
              </w:rPr>
              <w:t xml:space="preserve"> – 202</w:t>
            </w:r>
            <w:r w:rsidR="005D7DBB">
              <w:rPr>
                <w:sz w:val="20"/>
                <w:szCs w:val="20"/>
              </w:rPr>
              <w:t>6</w:t>
            </w:r>
            <w:r w:rsidRPr="004A56C6">
              <w:rPr>
                <w:sz w:val="20"/>
                <w:szCs w:val="20"/>
              </w:rPr>
              <w:t>/2</w:t>
            </w:r>
            <w:r w:rsidR="005D7DBB">
              <w:rPr>
                <w:sz w:val="20"/>
                <w:szCs w:val="20"/>
              </w:rPr>
              <w:t>7</w:t>
            </w:r>
          </w:p>
        </w:tc>
      </w:tr>
      <w:tr w:rsidR="00E66558" w:rsidRPr="004A56C6"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4A56C6" w:rsidRDefault="009D71E8">
            <w:pPr>
              <w:pStyle w:val="TableRow"/>
              <w:rPr>
                <w:sz w:val="20"/>
                <w:szCs w:val="20"/>
              </w:rPr>
            </w:pPr>
            <w:r w:rsidRPr="004A56C6">
              <w:rPr>
                <w:sz w:val="20"/>
                <w:szCs w:val="20"/>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AD689C6" w:rsidR="00E66558" w:rsidRPr="004A56C6" w:rsidRDefault="00ED3B29">
            <w:pPr>
              <w:pStyle w:val="TableRow"/>
              <w:rPr>
                <w:sz w:val="20"/>
                <w:szCs w:val="20"/>
              </w:rPr>
            </w:pPr>
            <w:r w:rsidRPr="004A56C6">
              <w:rPr>
                <w:sz w:val="20"/>
                <w:szCs w:val="20"/>
              </w:rPr>
              <w:t>Dec 202</w:t>
            </w:r>
            <w:r w:rsidR="005D7DBB">
              <w:rPr>
                <w:sz w:val="20"/>
                <w:szCs w:val="20"/>
              </w:rPr>
              <w:t>3</w:t>
            </w:r>
          </w:p>
        </w:tc>
      </w:tr>
      <w:tr w:rsidR="00E66558" w:rsidRPr="004A56C6"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4A56C6" w:rsidRDefault="009D71E8">
            <w:pPr>
              <w:pStyle w:val="TableRow"/>
              <w:rPr>
                <w:sz w:val="20"/>
                <w:szCs w:val="20"/>
              </w:rPr>
            </w:pPr>
            <w:r w:rsidRPr="004A56C6">
              <w:rPr>
                <w:sz w:val="20"/>
                <w:szCs w:val="20"/>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6DB84E8" w:rsidR="00E66558" w:rsidRPr="004A56C6" w:rsidRDefault="00ED3B29">
            <w:pPr>
              <w:pStyle w:val="TableRow"/>
              <w:rPr>
                <w:sz w:val="20"/>
                <w:szCs w:val="20"/>
              </w:rPr>
            </w:pPr>
            <w:r w:rsidRPr="004A56C6">
              <w:rPr>
                <w:sz w:val="20"/>
                <w:szCs w:val="20"/>
              </w:rPr>
              <w:t>Dec 202</w:t>
            </w:r>
            <w:r w:rsidR="005D7DBB">
              <w:rPr>
                <w:sz w:val="20"/>
                <w:szCs w:val="20"/>
              </w:rPr>
              <w:t>4</w:t>
            </w:r>
          </w:p>
        </w:tc>
      </w:tr>
      <w:tr w:rsidR="00E66558" w:rsidRPr="004A56C6"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4A56C6" w:rsidRDefault="009D71E8">
            <w:pPr>
              <w:pStyle w:val="TableRow"/>
              <w:rPr>
                <w:sz w:val="20"/>
                <w:szCs w:val="20"/>
              </w:rPr>
            </w:pPr>
            <w:r w:rsidRPr="004A56C6">
              <w:rPr>
                <w:sz w:val="20"/>
                <w:szCs w:val="20"/>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05FC3E6" w:rsidR="00E66558" w:rsidRPr="004A56C6" w:rsidRDefault="008A524B">
            <w:pPr>
              <w:pStyle w:val="TableRow"/>
              <w:rPr>
                <w:sz w:val="20"/>
                <w:szCs w:val="20"/>
              </w:rPr>
            </w:pPr>
            <w:r>
              <w:rPr>
                <w:sz w:val="20"/>
                <w:szCs w:val="20"/>
              </w:rPr>
              <w:t>Michael Watson</w:t>
            </w:r>
          </w:p>
        </w:tc>
      </w:tr>
      <w:tr w:rsidR="00E66558" w:rsidRPr="004A56C6"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4A56C6" w:rsidRDefault="009D71E8">
            <w:pPr>
              <w:pStyle w:val="TableRow"/>
              <w:rPr>
                <w:sz w:val="20"/>
                <w:szCs w:val="20"/>
              </w:rPr>
            </w:pPr>
            <w:r w:rsidRPr="004A56C6">
              <w:rPr>
                <w:sz w:val="20"/>
                <w:szCs w:val="20"/>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26D3668" w:rsidR="00E66558" w:rsidRPr="004A56C6" w:rsidRDefault="00ED3B29">
            <w:pPr>
              <w:pStyle w:val="TableRow"/>
              <w:rPr>
                <w:sz w:val="20"/>
                <w:szCs w:val="20"/>
              </w:rPr>
            </w:pPr>
            <w:r w:rsidRPr="004A56C6">
              <w:rPr>
                <w:sz w:val="20"/>
                <w:szCs w:val="20"/>
              </w:rPr>
              <w:t>David Preston</w:t>
            </w:r>
          </w:p>
        </w:tc>
      </w:tr>
      <w:tr w:rsidR="00E66558" w:rsidRPr="004A56C6"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4A56C6" w:rsidRDefault="009D71E8">
            <w:pPr>
              <w:pStyle w:val="TableRow"/>
              <w:rPr>
                <w:sz w:val="20"/>
                <w:szCs w:val="20"/>
              </w:rPr>
            </w:pPr>
            <w:r w:rsidRPr="004A56C6">
              <w:rPr>
                <w:sz w:val="20"/>
                <w:szCs w:val="20"/>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4EB3715" w:rsidR="00E66558" w:rsidRPr="004A56C6" w:rsidRDefault="008A524B">
            <w:pPr>
              <w:pStyle w:val="TableRow"/>
              <w:rPr>
                <w:sz w:val="20"/>
                <w:szCs w:val="20"/>
              </w:rPr>
            </w:pPr>
            <w:r>
              <w:rPr>
                <w:sz w:val="20"/>
                <w:szCs w:val="20"/>
              </w:rPr>
              <w:t>-</w:t>
            </w:r>
          </w:p>
        </w:tc>
      </w:tr>
    </w:tbl>
    <w:bookmarkEnd w:id="2"/>
    <w:bookmarkEnd w:id="3"/>
    <w:bookmarkEnd w:id="4"/>
    <w:p w14:paraId="2A7D54D3" w14:textId="23F312A6" w:rsidR="00E66558" w:rsidRDefault="009D71E8">
      <w:pPr>
        <w:spacing w:before="480" w:line="240" w:lineRule="auto"/>
        <w:rPr>
          <w:b/>
          <w:color w:val="104F75"/>
          <w:sz w:val="20"/>
          <w:szCs w:val="20"/>
        </w:rPr>
      </w:pPr>
      <w:r w:rsidRPr="004A56C6">
        <w:rPr>
          <w:b/>
          <w:color w:val="104F75"/>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5D7DBB" w:rsidRPr="004A56C6" w14:paraId="1613550B" w14:textId="77777777" w:rsidTr="004B7DC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A68A9AA" w14:textId="77777777" w:rsidR="005D7DBB" w:rsidRPr="004A56C6" w:rsidRDefault="005D7DBB" w:rsidP="004B7DCE">
            <w:pPr>
              <w:pStyle w:val="TableRow"/>
              <w:rPr>
                <w:sz w:val="20"/>
                <w:szCs w:val="20"/>
              </w:rPr>
            </w:pPr>
            <w:r w:rsidRPr="004A56C6">
              <w:rPr>
                <w:b/>
                <w:sz w:val="20"/>
                <w:szCs w:val="20"/>
              </w:rPr>
              <w:t>Detail</w:t>
            </w:r>
            <w:r>
              <w:rPr>
                <w:b/>
                <w:sz w:val="20"/>
                <w:szCs w:val="20"/>
              </w:rPr>
              <w:t xml:space="preserve"> – 2022-23</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4C41DEF6" w14:textId="77777777" w:rsidR="005D7DBB" w:rsidRPr="004A56C6" w:rsidRDefault="005D7DBB" w:rsidP="004B7DCE">
            <w:pPr>
              <w:pStyle w:val="TableRow"/>
              <w:rPr>
                <w:sz w:val="20"/>
                <w:szCs w:val="20"/>
              </w:rPr>
            </w:pPr>
            <w:r w:rsidRPr="004A56C6">
              <w:rPr>
                <w:b/>
                <w:sz w:val="20"/>
                <w:szCs w:val="20"/>
              </w:rPr>
              <w:t>Amount</w:t>
            </w:r>
          </w:p>
        </w:tc>
      </w:tr>
      <w:tr w:rsidR="005D7DBB" w:rsidRPr="004A56C6" w14:paraId="4C904F89" w14:textId="77777777" w:rsidTr="004B7DC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23A05" w14:textId="77777777" w:rsidR="005D7DBB" w:rsidRPr="004A56C6" w:rsidRDefault="005D7DBB" w:rsidP="004B7DCE">
            <w:pPr>
              <w:pStyle w:val="TableRow"/>
              <w:rPr>
                <w:sz w:val="20"/>
                <w:szCs w:val="20"/>
              </w:rPr>
            </w:pPr>
            <w:r w:rsidRPr="004A56C6">
              <w:rPr>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C668" w14:textId="51E5568A" w:rsidR="005D7DBB" w:rsidRPr="004A56C6" w:rsidRDefault="005D7DBB" w:rsidP="004B7DCE">
            <w:pPr>
              <w:pStyle w:val="TableRow"/>
              <w:rPr>
                <w:sz w:val="20"/>
                <w:szCs w:val="20"/>
              </w:rPr>
            </w:pPr>
            <w:r w:rsidRPr="00833A9E">
              <w:rPr>
                <w:sz w:val="20"/>
                <w:szCs w:val="20"/>
              </w:rPr>
              <w:t>£ 70</w:t>
            </w:r>
            <w:r w:rsidR="007E6C04">
              <w:rPr>
                <w:sz w:val="20"/>
                <w:szCs w:val="20"/>
              </w:rPr>
              <w:t>,</w:t>
            </w:r>
            <w:r w:rsidRPr="00833A9E">
              <w:rPr>
                <w:sz w:val="20"/>
                <w:szCs w:val="20"/>
              </w:rPr>
              <w:t>635</w:t>
            </w:r>
          </w:p>
        </w:tc>
      </w:tr>
      <w:tr w:rsidR="005D7DBB" w:rsidRPr="004A56C6" w14:paraId="50256196" w14:textId="77777777" w:rsidTr="004B7DC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06BF" w14:textId="77777777" w:rsidR="005D7DBB" w:rsidRPr="004A56C6" w:rsidRDefault="005D7DBB" w:rsidP="004B7DCE">
            <w:pPr>
              <w:pStyle w:val="TableRow"/>
              <w:rPr>
                <w:sz w:val="20"/>
                <w:szCs w:val="20"/>
              </w:rPr>
            </w:pPr>
            <w:r w:rsidRPr="004A56C6">
              <w:rPr>
                <w:sz w:val="20"/>
                <w:szCs w:val="2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AE46" w14:textId="77777777" w:rsidR="005D7DBB" w:rsidRPr="004A56C6" w:rsidRDefault="005D7DBB" w:rsidP="004B7DCE">
            <w:pPr>
              <w:pStyle w:val="TableRow"/>
              <w:rPr>
                <w:sz w:val="20"/>
                <w:szCs w:val="20"/>
              </w:rPr>
            </w:pPr>
            <w:r w:rsidRPr="004A56C6">
              <w:rPr>
                <w:sz w:val="20"/>
                <w:szCs w:val="20"/>
              </w:rPr>
              <w:t xml:space="preserve">£ </w:t>
            </w:r>
            <w:r>
              <w:rPr>
                <w:sz w:val="20"/>
                <w:szCs w:val="20"/>
              </w:rPr>
              <w:t>7830</w:t>
            </w:r>
          </w:p>
        </w:tc>
      </w:tr>
      <w:tr w:rsidR="005D7DBB" w:rsidRPr="004A56C6" w14:paraId="68130BF2" w14:textId="77777777" w:rsidTr="004B7DC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D8D23" w14:textId="77777777" w:rsidR="005D7DBB" w:rsidRPr="004A56C6" w:rsidRDefault="005D7DBB" w:rsidP="004B7DCE">
            <w:pPr>
              <w:pStyle w:val="TableRow"/>
              <w:rPr>
                <w:sz w:val="20"/>
                <w:szCs w:val="20"/>
              </w:rPr>
            </w:pPr>
            <w:r w:rsidRPr="004A56C6">
              <w:rPr>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C4E42" w14:textId="77777777" w:rsidR="005D7DBB" w:rsidRPr="004A56C6" w:rsidRDefault="005D7DBB" w:rsidP="004B7DCE">
            <w:pPr>
              <w:pStyle w:val="TableRow"/>
              <w:rPr>
                <w:sz w:val="20"/>
                <w:szCs w:val="20"/>
              </w:rPr>
            </w:pPr>
            <w:r w:rsidRPr="004A56C6">
              <w:rPr>
                <w:sz w:val="20"/>
                <w:szCs w:val="20"/>
              </w:rPr>
              <w:t>£ 0</w:t>
            </w:r>
          </w:p>
        </w:tc>
      </w:tr>
      <w:tr w:rsidR="005D7DBB" w:rsidRPr="004A56C6" w14:paraId="07883D96" w14:textId="77777777" w:rsidTr="004B7DCE">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382D" w14:textId="77777777" w:rsidR="005D7DBB" w:rsidRPr="004A56C6" w:rsidRDefault="005D7DBB" w:rsidP="004B7DCE">
            <w:pPr>
              <w:pStyle w:val="TableRow"/>
              <w:rPr>
                <w:b/>
                <w:sz w:val="20"/>
                <w:szCs w:val="20"/>
              </w:rPr>
            </w:pPr>
            <w:r w:rsidRPr="004A56C6">
              <w:rPr>
                <w:b/>
                <w:sz w:val="20"/>
                <w:szCs w:val="20"/>
              </w:rPr>
              <w:t>Total budget for this academic year</w:t>
            </w:r>
          </w:p>
          <w:p w14:paraId="457DFA74" w14:textId="77777777" w:rsidR="005D7DBB" w:rsidRPr="004A56C6" w:rsidRDefault="005D7DBB" w:rsidP="004B7DCE">
            <w:pPr>
              <w:pStyle w:val="TableRow"/>
              <w:rPr>
                <w:sz w:val="20"/>
                <w:szCs w:val="20"/>
              </w:rPr>
            </w:pPr>
            <w:r w:rsidRPr="004A56C6">
              <w:rPr>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E0165" w14:textId="7212AF8B" w:rsidR="005D7DBB" w:rsidRPr="004A56C6" w:rsidRDefault="005D7DBB" w:rsidP="004B7DCE">
            <w:pPr>
              <w:pStyle w:val="TableRow"/>
              <w:rPr>
                <w:sz w:val="20"/>
                <w:szCs w:val="20"/>
              </w:rPr>
            </w:pPr>
            <w:r w:rsidRPr="00DF4361">
              <w:rPr>
                <w:sz w:val="20"/>
                <w:szCs w:val="20"/>
              </w:rPr>
              <w:t>£ 78</w:t>
            </w:r>
            <w:r w:rsidR="007E6C04">
              <w:rPr>
                <w:sz w:val="20"/>
                <w:szCs w:val="20"/>
              </w:rPr>
              <w:t>,</w:t>
            </w:r>
            <w:r w:rsidRPr="00DF4361">
              <w:rPr>
                <w:sz w:val="20"/>
                <w:szCs w:val="20"/>
              </w:rPr>
              <w:t>465</w:t>
            </w:r>
          </w:p>
        </w:tc>
      </w:tr>
    </w:tbl>
    <w:p w14:paraId="704D8EB5" w14:textId="77777777" w:rsidR="005D7DBB" w:rsidRPr="004A56C6" w:rsidRDefault="005D7DBB">
      <w:pPr>
        <w:spacing w:before="480" w:line="240" w:lineRule="auto"/>
        <w:rPr>
          <w:b/>
          <w:color w:val="104F75"/>
          <w:sz w:val="20"/>
          <w:szCs w:val="20"/>
        </w:rPr>
      </w:pPr>
    </w:p>
    <w:tbl>
      <w:tblPr>
        <w:tblW w:w="9486" w:type="dxa"/>
        <w:tblCellMar>
          <w:left w:w="10" w:type="dxa"/>
          <w:right w:w="10" w:type="dxa"/>
        </w:tblCellMar>
        <w:tblLook w:val="04A0" w:firstRow="1" w:lastRow="0" w:firstColumn="1" w:lastColumn="0" w:noHBand="0" w:noVBand="1"/>
      </w:tblPr>
      <w:tblGrid>
        <w:gridCol w:w="6516"/>
        <w:gridCol w:w="2970"/>
      </w:tblGrid>
      <w:tr w:rsidR="00E66558" w:rsidRPr="004A56C6"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237B6C54" w:rsidR="00E66558" w:rsidRPr="004A56C6" w:rsidRDefault="009D71E8">
            <w:pPr>
              <w:pStyle w:val="TableRow"/>
              <w:rPr>
                <w:sz w:val="20"/>
                <w:szCs w:val="20"/>
              </w:rPr>
            </w:pPr>
            <w:r w:rsidRPr="004A56C6">
              <w:rPr>
                <w:b/>
                <w:sz w:val="20"/>
                <w:szCs w:val="20"/>
              </w:rPr>
              <w:t>Detail</w:t>
            </w:r>
            <w:r w:rsidR="005D7DBB">
              <w:rPr>
                <w:b/>
                <w:sz w:val="20"/>
                <w:szCs w:val="20"/>
              </w:rPr>
              <w:t xml:space="preserve"> – 2023-24</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4A56C6" w:rsidRDefault="009D71E8">
            <w:pPr>
              <w:pStyle w:val="TableRow"/>
              <w:rPr>
                <w:sz w:val="20"/>
                <w:szCs w:val="20"/>
              </w:rPr>
            </w:pPr>
            <w:r w:rsidRPr="004A56C6">
              <w:rPr>
                <w:b/>
                <w:sz w:val="20"/>
                <w:szCs w:val="20"/>
              </w:rPr>
              <w:t>Amount</w:t>
            </w:r>
          </w:p>
        </w:tc>
      </w:tr>
      <w:tr w:rsidR="00E66558" w:rsidRPr="004A56C6"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4A56C6" w:rsidRDefault="009D71E8">
            <w:pPr>
              <w:pStyle w:val="TableRow"/>
              <w:rPr>
                <w:sz w:val="20"/>
                <w:szCs w:val="20"/>
              </w:rPr>
            </w:pPr>
            <w:r w:rsidRPr="004A56C6">
              <w:rPr>
                <w:sz w:val="20"/>
                <w:szCs w:val="2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2689CE1" w:rsidR="00E66558" w:rsidRPr="004A56C6" w:rsidRDefault="009D71E8">
            <w:pPr>
              <w:pStyle w:val="TableRow"/>
              <w:rPr>
                <w:sz w:val="20"/>
                <w:szCs w:val="20"/>
              </w:rPr>
            </w:pPr>
            <w:r w:rsidRPr="00833A9E">
              <w:rPr>
                <w:sz w:val="20"/>
                <w:szCs w:val="20"/>
              </w:rPr>
              <w:t>£</w:t>
            </w:r>
            <w:r w:rsidR="00CB3C2E" w:rsidRPr="00833A9E">
              <w:rPr>
                <w:sz w:val="20"/>
                <w:szCs w:val="20"/>
              </w:rPr>
              <w:t xml:space="preserve"> </w:t>
            </w:r>
            <w:r w:rsidR="007E6C04">
              <w:rPr>
                <w:sz w:val="20"/>
                <w:szCs w:val="20"/>
              </w:rPr>
              <w:t>82,465</w:t>
            </w:r>
          </w:p>
        </w:tc>
      </w:tr>
      <w:tr w:rsidR="00E66558" w:rsidRPr="004A56C6"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4A56C6" w:rsidRDefault="009D71E8">
            <w:pPr>
              <w:pStyle w:val="TableRow"/>
              <w:rPr>
                <w:sz w:val="20"/>
                <w:szCs w:val="20"/>
              </w:rPr>
            </w:pPr>
            <w:r w:rsidRPr="004A56C6">
              <w:rPr>
                <w:sz w:val="20"/>
                <w:szCs w:val="2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512BA3B" w:rsidR="00E66558" w:rsidRPr="004A56C6" w:rsidRDefault="009D71E8">
            <w:pPr>
              <w:pStyle w:val="TableRow"/>
              <w:rPr>
                <w:sz w:val="20"/>
                <w:szCs w:val="20"/>
              </w:rPr>
            </w:pPr>
            <w:r w:rsidRPr="004A56C6">
              <w:rPr>
                <w:sz w:val="20"/>
                <w:szCs w:val="20"/>
              </w:rPr>
              <w:t>£</w:t>
            </w:r>
            <w:r w:rsidR="00875822" w:rsidRPr="004A56C6">
              <w:rPr>
                <w:sz w:val="20"/>
                <w:szCs w:val="20"/>
              </w:rPr>
              <w:t xml:space="preserve"> </w:t>
            </w:r>
            <w:r w:rsidR="00D50DD1">
              <w:rPr>
                <w:sz w:val="20"/>
                <w:szCs w:val="20"/>
              </w:rPr>
              <w:t>4060</w:t>
            </w:r>
          </w:p>
        </w:tc>
      </w:tr>
      <w:tr w:rsidR="00E66558" w:rsidRPr="004A56C6"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4A56C6" w:rsidRDefault="009D71E8">
            <w:pPr>
              <w:pStyle w:val="TableRow"/>
              <w:rPr>
                <w:sz w:val="20"/>
                <w:szCs w:val="20"/>
              </w:rPr>
            </w:pPr>
            <w:r w:rsidRPr="004A56C6">
              <w:rPr>
                <w:sz w:val="20"/>
                <w:szCs w:val="2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61F97E9" w:rsidR="00E66558" w:rsidRPr="004A56C6" w:rsidRDefault="009D71E8">
            <w:pPr>
              <w:pStyle w:val="TableRow"/>
              <w:rPr>
                <w:sz w:val="20"/>
                <w:szCs w:val="20"/>
              </w:rPr>
            </w:pPr>
            <w:r w:rsidRPr="004A56C6">
              <w:rPr>
                <w:sz w:val="20"/>
                <w:szCs w:val="20"/>
              </w:rPr>
              <w:t>£</w:t>
            </w:r>
            <w:r w:rsidR="00C660E2" w:rsidRPr="004A56C6">
              <w:rPr>
                <w:sz w:val="20"/>
                <w:szCs w:val="20"/>
              </w:rPr>
              <w:t xml:space="preserve"> 0</w:t>
            </w:r>
          </w:p>
        </w:tc>
      </w:tr>
      <w:tr w:rsidR="00E66558" w:rsidRPr="004A56C6"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4A56C6" w:rsidRDefault="009D71E8">
            <w:pPr>
              <w:pStyle w:val="TableRow"/>
              <w:rPr>
                <w:b/>
                <w:sz w:val="20"/>
                <w:szCs w:val="20"/>
              </w:rPr>
            </w:pPr>
            <w:r w:rsidRPr="004A56C6">
              <w:rPr>
                <w:b/>
                <w:sz w:val="20"/>
                <w:szCs w:val="20"/>
              </w:rPr>
              <w:t>Total budget for this academic year</w:t>
            </w:r>
          </w:p>
          <w:p w14:paraId="2A7D54E1" w14:textId="77777777" w:rsidR="00E66558" w:rsidRPr="004A56C6" w:rsidRDefault="009D71E8">
            <w:pPr>
              <w:pStyle w:val="TableRow"/>
              <w:rPr>
                <w:sz w:val="20"/>
                <w:szCs w:val="20"/>
              </w:rPr>
            </w:pPr>
            <w:r w:rsidRPr="004A56C6">
              <w:rPr>
                <w:sz w:val="20"/>
                <w:szCs w:val="2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ED473EB" w:rsidR="00E66558" w:rsidRPr="004A56C6" w:rsidRDefault="009D71E8">
            <w:pPr>
              <w:pStyle w:val="TableRow"/>
              <w:rPr>
                <w:sz w:val="20"/>
                <w:szCs w:val="20"/>
              </w:rPr>
            </w:pPr>
            <w:r w:rsidRPr="00DF4361">
              <w:rPr>
                <w:sz w:val="20"/>
                <w:szCs w:val="20"/>
              </w:rPr>
              <w:t>£</w:t>
            </w:r>
            <w:r w:rsidR="00C660E2" w:rsidRPr="00DF4361">
              <w:rPr>
                <w:sz w:val="20"/>
                <w:szCs w:val="20"/>
              </w:rPr>
              <w:t xml:space="preserve"> </w:t>
            </w:r>
            <w:r w:rsidR="007E6C04">
              <w:rPr>
                <w:sz w:val="20"/>
                <w:szCs w:val="20"/>
              </w:rPr>
              <w:t>86,525</w:t>
            </w:r>
          </w:p>
        </w:tc>
      </w:tr>
    </w:tbl>
    <w:p w14:paraId="2A7D54E4" w14:textId="31C9C66E" w:rsidR="00E66558" w:rsidRPr="004A56C6" w:rsidRDefault="001F3038">
      <w:pPr>
        <w:pStyle w:val="Heading1"/>
        <w:rPr>
          <w:sz w:val="20"/>
          <w:szCs w:val="20"/>
        </w:rPr>
      </w:pPr>
      <w:r w:rsidRPr="004A56C6">
        <w:rPr>
          <w:sz w:val="20"/>
          <w:szCs w:val="20"/>
        </w:rPr>
        <w:lastRenderedPageBreak/>
        <w:t>P</w:t>
      </w:r>
      <w:r w:rsidR="009D71E8" w:rsidRPr="004A56C6">
        <w:rPr>
          <w:sz w:val="20"/>
          <w:szCs w:val="20"/>
        </w:rPr>
        <w:t>art A: Pupil premium strategy plan</w:t>
      </w:r>
    </w:p>
    <w:p w14:paraId="2A7D54E5" w14:textId="77777777" w:rsidR="00E66558" w:rsidRPr="004A56C6" w:rsidRDefault="009D71E8">
      <w:pPr>
        <w:pStyle w:val="Heading2"/>
        <w:rPr>
          <w:sz w:val="20"/>
          <w:szCs w:val="20"/>
        </w:rPr>
      </w:pPr>
      <w:bookmarkStart w:id="14" w:name="_Toc357771640"/>
      <w:bookmarkStart w:id="15" w:name="_Toc346793418"/>
      <w:r w:rsidRPr="004A56C6">
        <w:rPr>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6C0B45"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A1035" w14:textId="7D69802C" w:rsidR="000A7C05" w:rsidRDefault="000A7C05" w:rsidP="00C660E2">
            <w:pPr>
              <w:rPr>
                <w:sz w:val="20"/>
                <w:szCs w:val="20"/>
              </w:rPr>
            </w:pPr>
            <w:r w:rsidRPr="001D430F">
              <w:rPr>
                <w:sz w:val="20"/>
                <w:szCs w:val="20"/>
              </w:rPr>
              <w:t>The dual aims of our pupil premium strategy are to raise the attainment and the aspirations of all disadvantaged pupils.</w:t>
            </w:r>
            <w:r w:rsidR="008C6D34">
              <w:rPr>
                <w:sz w:val="20"/>
                <w:szCs w:val="20"/>
              </w:rPr>
              <w:t xml:space="preserve"> This continues to be our main aim following on from previous Pupil Premium statements.</w:t>
            </w:r>
            <w:r w:rsidRPr="001D430F">
              <w:rPr>
                <w:sz w:val="20"/>
                <w:szCs w:val="20"/>
              </w:rPr>
              <w:t xml:space="preserve"> We strongly feel that the true measure of a society is how well the most vulnerable are supported and flourish. By the time children leave our school</w:t>
            </w:r>
            <w:r w:rsidR="00572233" w:rsidRPr="001D430F">
              <w:rPr>
                <w:sz w:val="20"/>
                <w:szCs w:val="20"/>
              </w:rPr>
              <w:t>,</w:t>
            </w:r>
            <w:r w:rsidRPr="001D430F">
              <w:rPr>
                <w:sz w:val="20"/>
                <w:szCs w:val="20"/>
              </w:rPr>
              <w:t xml:space="preserve"> we want to have exposed them to a wide range of experiences to open the world up to them and enable them to find their own passion in life. We want our children to feel empowered to choose their own path and have the academic knowledge and aptitudes to find success.</w:t>
            </w:r>
          </w:p>
          <w:p w14:paraId="00DC88E4" w14:textId="2A0131BC" w:rsidR="000A7C05" w:rsidRDefault="000A7C05" w:rsidP="00C660E2">
            <w:pPr>
              <w:rPr>
                <w:sz w:val="20"/>
                <w:szCs w:val="20"/>
              </w:rPr>
            </w:pPr>
            <w:r w:rsidRPr="001D430F">
              <w:rPr>
                <w:sz w:val="20"/>
                <w:szCs w:val="20"/>
              </w:rPr>
              <w:t xml:space="preserve">Whilst we will act with urgency to meet this aim as soon as possible, the plans and actions that underpin the strategy need to be sustainable to </w:t>
            </w:r>
            <w:r w:rsidR="008C2D62" w:rsidRPr="001D430F">
              <w:rPr>
                <w:sz w:val="20"/>
                <w:szCs w:val="20"/>
              </w:rPr>
              <w:t>allow</w:t>
            </w:r>
            <w:r w:rsidRPr="001D430F">
              <w:rPr>
                <w:sz w:val="20"/>
                <w:szCs w:val="20"/>
              </w:rPr>
              <w:t xml:space="preserve"> the path to be laid for future years. As such, for each cohort their progress will be broken down and we would expect the gap for disadvantaged learners to be closed year on year until eventually the gap no longer exists.</w:t>
            </w:r>
            <w:r w:rsidR="00C660E2" w:rsidRPr="001D430F">
              <w:rPr>
                <w:sz w:val="20"/>
                <w:szCs w:val="20"/>
              </w:rPr>
              <w:t xml:space="preserve"> </w:t>
            </w:r>
            <w:bookmarkStart w:id="16" w:name="_GoBack"/>
            <w:bookmarkEnd w:id="16"/>
          </w:p>
          <w:p w14:paraId="41025F66" w14:textId="0A7F21EF" w:rsidR="004C225C" w:rsidRDefault="00A72F55" w:rsidP="00A72F55">
            <w:pPr>
              <w:rPr>
                <w:sz w:val="20"/>
                <w:szCs w:val="20"/>
              </w:rPr>
            </w:pPr>
            <w:r>
              <w:rPr>
                <w:sz w:val="20"/>
                <w:szCs w:val="20"/>
              </w:rPr>
              <w:t>Our approach will be responsive to identified common challenges and also focusses on individual pupil’s needs – not assumptions about disadvantage as a group. As a school with a diverse catchment and a high proportion of children coming from outside catchment, this bespoke approach is vital.</w:t>
            </w:r>
          </w:p>
          <w:p w14:paraId="4A457FA7" w14:textId="10D0EFA6" w:rsidR="00D50DD1" w:rsidRPr="001D430F" w:rsidRDefault="00D50DD1" w:rsidP="00A72F55">
            <w:pPr>
              <w:rPr>
                <w:sz w:val="20"/>
                <w:szCs w:val="20"/>
              </w:rPr>
            </w:pPr>
            <w:r>
              <w:rPr>
                <w:sz w:val="20"/>
                <w:szCs w:val="20"/>
              </w:rPr>
              <w:t>Catch-up funding will be targeted at accessing external online tutoring and ensuring we have the technology in school to support the effective use of this.</w:t>
            </w:r>
          </w:p>
          <w:p w14:paraId="2A7D54E9" w14:textId="7A1B88AE" w:rsidR="000A7C05" w:rsidRPr="006C0B45" w:rsidRDefault="000A7C05" w:rsidP="00C660E2">
            <w:pPr>
              <w:rPr>
                <w:iCs/>
                <w:sz w:val="20"/>
                <w:szCs w:val="20"/>
                <w:highlight w:val="yellow"/>
              </w:rPr>
            </w:pPr>
            <w:r w:rsidRPr="001D430F">
              <w:rPr>
                <w:sz w:val="20"/>
                <w:szCs w:val="20"/>
              </w:rPr>
              <w:t>The key focus of our strategy is to improve the quality of teaching</w:t>
            </w:r>
            <w:r w:rsidR="0047049E">
              <w:rPr>
                <w:sz w:val="20"/>
                <w:szCs w:val="20"/>
              </w:rPr>
              <w:t xml:space="preserve"> </w:t>
            </w:r>
            <w:r w:rsidRPr="001D430F">
              <w:rPr>
                <w:sz w:val="20"/>
                <w:szCs w:val="20"/>
              </w:rPr>
              <w:t xml:space="preserve">through specifically planned and </w:t>
            </w:r>
            <w:r w:rsidR="00C660E2" w:rsidRPr="001D430F">
              <w:rPr>
                <w:sz w:val="20"/>
                <w:szCs w:val="20"/>
              </w:rPr>
              <w:t>t</w:t>
            </w:r>
            <w:r w:rsidRPr="001D430F">
              <w:rPr>
                <w:sz w:val="20"/>
                <w:szCs w:val="20"/>
              </w:rPr>
              <w:t>argeted professional development which is research informed and evidence based.</w:t>
            </w:r>
            <w:r w:rsidR="00A319B7">
              <w:rPr>
                <w:sz w:val="20"/>
                <w:szCs w:val="20"/>
              </w:rPr>
              <w:t xml:space="preserve"> This ensures that all teachers are at the heart of improvement and that all teachers have responsibility for improving outcomes.</w:t>
            </w:r>
            <w:r w:rsidR="004C225C">
              <w:rPr>
                <w:sz w:val="20"/>
                <w:szCs w:val="20"/>
              </w:rPr>
              <w:t xml:space="preserve"> Being a Junior School, early identification is key due to the relatively short times pupils spend with us making staff expertise and accurate baseline assessment is key.</w:t>
            </w:r>
          </w:p>
        </w:tc>
      </w:tr>
    </w:tbl>
    <w:p w14:paraId="2A7D54EB" w14:textId="77777777" w:rsidR="00E66558" w:rsidRPr="00DF4361" w:rsidRDefault="009D71E8">
      <w:pPr>
        <w:pStyle w:val="Heading2"/>
        <w:spacing w:before="600"/>
        <w:rPr>
          <w:sz w:val="20"/>
          <w:szCs w:val="20"/>
        </w:rPr>
      </w:pPr>
      <w:r w:rsidRPr="00DF4361">
        <w:rPr>
          <w:sz w:val="20"/>
          <w:szCs w:val="20"/>
        </w:rPr>
        <w:t>Challenges</w:t>
      </w:r>
    </w:p>
    <w:p w14:paraId="2A7D54EC" w14:textId="77777777" w:rsidR="00E66558" w:rsidRPr="00DF4361" w:rsidRDefault="009D71E8">
      <w:pPr>
        <w:spacing w:before="120" w:line="240" w:lineRule="auto"/>
        <w:textAlignment w:val="baseline"/>
        <w:outlineLvl w:val="0"/>
        <w:rPr>
          <w:sz w:val="20"/>
          <w:szCs w:val="20"/>
        </w:rPr>
      </w:pPr>
      <w:r w:rsidRPr="00DF4361">
        <w:rPr>
          <w:bCs/>
          <w:color w:val="auto"/>
          <w:sz w:val="20"/>
          <w:szCs w:val="20"/>
        </w:rPr>
        <w:t>This details</w:t>
      </w:r>
      <w:r w:rsidRPr="00DF4361">
        <w:rPr>
          <w:color w:val="auto"/>
          <w:sz w:val="20"/>
          <w:szCs w:val="20"/>
        </w:rPr>
        <w:t xml:space="preserve"> the key</w:t>
      </w:r>
      <w:r w:rsidRPr="00DF4361">
        <w:rPr>
          <w:bCs/>
          <w:color w:val="auto"/>
          <w:sz w:val="20"/>
          <w:szCs w:val="20"/>
        </w:rPr>
        <w:t xml:space="preserve"> </w:t>
      </w:r>
      <w:r w:rsidRPr="00DF4361">
        <w:rPr>
          <w:color w:val="auto"/>
          <w:sz w:val="20"/>
          <w:szCs w:val="20"/>
        </w:rPr>
        <w:t xml:space="preserve">challenges to </w:t>
      </w:r>
      <w:r w:rsidRPr="00DF4361">
        <w:rPr>
          <w:bCs/>
          <w:color w:val="auto"/>
          <w:sz w:val="20"/>
          <w:szCs w:val="20"/>
        </w:rPr>
        <w:t>achievement that we have</w:t>
      </w:r>
      <w:r w:rsidRPr="00DF4361">
        <w:rPr>
          <w:color w:val="auto"/>
          <w:sz w:val="20"/>
          <w:szCs w:val="20"/>
        </w:rPr>
        <w:t xml:space="preserve"> identified among </w:t>
      </w:r>
      <w:r w:rsidRPr="00DF4361">
        <w:rPr>
          <w:bCs/>
          <w:color w:val="auto"/>
          <w:sz w:val="20"/>
          <w:szCs w:val="20"/>
        </w:rPr>
        <w:t>our</w:t>
      </w:r>
      <w:r w:rsidRPr="00DF4361">
        <w:rPr>
          <w:color w:val="auto"/>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6C0B45"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DF4361" w:rsidRDefault="009D71E8">
            <w:pPr>
              <w:pStyle w:val="TableHeader"/>
              <w:jc w:val="left"/>
              <w:rPr>
                <w:sz w:val="20"/>
                <w:szCs w:val="20"/>
              </w:rPr>
            </w:pPr>
            <w:r w:rsidRPr="00DF4361">
              <w:rPr>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DF4361" w:rsidRDefault="009D71E8">
            <w:pPr>
              <w:pStyle w:val="TableHeader"/>
              <w:jc w:val="left"/>
              <w:rPr>
                <w:sz w:val="20"/>
                <w:szCs w:val="20"/>
              </w:rPr>
            </w:pPr>
            <w:r w:rsidRPr="00DF4361">
              <w:rPr>
                <w:sz w:val="20"/>
                <w:szCs w:val="20"/>
              </w:rPr>
              <w:t xml:space="preserve">Detail of challenge </w:t>
            </w:r>
          </w:p>
        </w:tc>
      </w:tr>
      <w:tr w:rsidR="00E66558" w:rsidRPr="006C0B45"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DF4361" w:rsidRDefault="009D71E8">
            <w:pPr>
              <w:pStyle w:val="TableRow"/>
              <w:rPr>
                <w:sz w:val="20"/>
                <w:szCs w:val="20"/>
              </w:rPr>
            </w:pPr>
            <w:r w:rsidRPr="00DF4361">
              <w:rPr>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35ED9" w14:textId="337B2F73" w:rsidR="00572233" w:rsidRPr="00DF4361" w:rsidRDefault="00572233" w:rsidP="00572233">
            <w:pPr>
              <w:rPr>
                <w:rFonts w:cs="Arial"/>
                <w:b/>
                <w:color w:val="auto"/>
                <w:sz w:val="20"/>
                <w:szCs w:val="20"/>
              </w:rPr>
            </w:pPr>
            <w:r w:rsidRPr="00DF4361">
              <w:rPr>
                <w:rFonts w:cs="Arial"/>
                <w:b/>
                <w:sz w:val="20"/>
                <w:szCs w:val="20"/>
              </w:rPr>
              <w:t>Academic barriers</w:t>
            </w:r>
            <w:r w:rsidR="00C660E2" w:rsidRPr="00DF4361">
              <w:rPr>
                <w:rFonts w:cs="Arial"/>
                <w:b/>
                <w:sz w:val="20"/>
                <w:szCs w:val="20"/>
              </w:rPr>
              <w:t xml:space="preserve"> – Many of which </w:t>
            </w:r>
            <w:r w:rsidR="00A72F55">
              <w:rPr>
                <w:rFonts w:cs="Arial"/>
                <w:b/>
                <w:sz w:val="20"/>
                <w:szCs w:val="20"/>
              </w:rPr>
              <w:t>continue to be</w:t>
            </w:r>
            <w:r w:rsidR="00C660E2" w:rsidRPr="00DF4361">
              <w:rPr>
                <w:rFonts w:cs="Arial"/>
                <w:b/>
                <w:sz w:val="20"/>
                <w:szCs w:val="20"/>
              </w:rPr>
              <w:t xml:space="preserve"> impacted due to COVID</w:t>
            </w:r>
            <w:r w:rsidR="00145DE7" w:rsidRPr="00DF4361">
              <w:rPr>
                <w:rFonts w:cs="Arial"/>
                <w:b/>
                <w:sz w:val="20"/>
                <w:szCs w:val="20"/>
              </w:rPr>
              <w:t>:</w:t>
            </w:r>
          </w:p>
          <w:p w14:paraId="51CA93E1" w14:textId="7BB794B9" w:rsidR="00572233" w:rsidRPr="00DF4361" w:rsidRDefault="00572233" w:rsidP="00572233">
            <w:pPr>
              <w:pStyle w:val="ListParagraph"/>
              <w:numPr>
                <w:ilvl w:val="0"/>
                <w:numId w:val="16"/>
              </w:numPr>
              <w:rPr>
                <w:rFonts w:eastAsia="MS Mincho"/>
                <w:sz w:val="20"/>
                <w:szCs w:val="20"/>
              </w:rPr>
            </w:pPr>
            <w:r w:rsidRPr="00DF4361">
              <w:rPr>
                <w:sz w:val="20"/>
                <w:szCs w:val="20"/>
              </w:rPr>
              <w:t>Maths - Basic numeracy, place value, the 4 operations. The gaps are more specific in the older age range and require a more personalised approach. The gaps in lower key stage are much more general and more widespread across the Y3 and Y4 cohorts.</w:t>
            </w:r>
          </w:p>
          <w:p w14:paraId="639811E7" w14:textId="2F01674F" w:rsidR="00572233" w:rsidRPr="00DF4361" w:rsidRDefault="00572233" w:rsidP="00572233">
            <w:pPr>
              <w:pStyle w:val="ListParagraph"/>
              <w:numPr>
                <w:ilvl w:val="0"/>
                <w:numId w:val="16"/>
              </w:numPr>
              <w:rPr>
                <w:sz w:val="20"/>
                <w:szCs w:val="20"/>
              </w:rPr>
            </w:pPr>
            <w:r w:rsidRPr="00DF4361">
              <w:rPr>
                <w:sz w:val="20"/>
                <w:szCs w:val="20"/>
              </w:rPr>
              <w:t>Reading - Y3/4 - Fluency, gaps in phonics knowledge</w:t>
            </w:r>
            <w:r w:rsidR="00145DE7" w:rsidRPr="00DF4361">
              <w:rPr>
                <w:sz w:val="20"/>
                <w:szCs w:val="20"/>
              </w:rPr>
              <w:t>;</w:t>
            </w:r>
            <w:r w:rsidRPr="00DF4361">
              <w:rPr>
                <w:sz w:val="20"/>
                <w:szCs w:val="20"/>
              </w:rPr>
              <w:t xml:space="preserve"> Y5/6 – Fluency, underdeveloped vocabulary, comprehension, stamina</w:t>
            </w:r>
          </w:p>
          <w:p w14:paraId="5BF3ABB9" w14:textId="4AD2A8DC" w:rsidR="00572233" w:rsidRPr="00DF4361" w:rsidRDefault="00572233" w:rsidP="00572233">
            <w:pPr>
              <w:pStyle w:val="ListParagraph"/>
              <w:numPr>
                <w:ilvl w:val="0"/>
                <w:numId w:val="16"/>
              </w:numPr>
              <w:rPr>
                <w:sz w:val="20"/>
                <w:szCs w:val="20"/>
              </w:rPr>
            </w:pPr>
            <w:r w:rsidRPr="00DF4361">
              <w:rPr>
                <w:sz w:val="20"/>
                <w:szCs w:val="20"/>
              </w:rPr>
              <w:t>Writing - Lack of grammatical accuracy in sentence construction. Working memory issues because of gaps in spelling, punctuation and handwriting knowledge</w:t>
            </w:r>
          </w:p>
          <w:p w14:paraId="2A7D54F1" w14:textId="4B361C66" w:rsidR="00E66558" w:rsidRPr="00DF4361" w:rsidRDefault="00572233" w:rsidP="00572233">
            <w:pPr>
              <w:pStyle w:val="ListParagraph"/>
              <w:numPr>
                <w:ilvl w:val="0"/>
                <w:numId w:val="16"/>
              </w:numPr>
              <w:rPr>
                <w:sz w:val="20"/>
                <w:szCs w:val="20"/>
              </w:rPr>
            </w:pPr>
            <w:r w:rsidRPr="00DF4361">
              <w:rPr>
                <w:sz w:val="20"/>
                <w:szCs w:val="20"/>
              </w:rPr>
              <w:t>Communication and language - Low levels of speaking and listening skills impacting on general learning, social and emotional communication and specifically writing.</w:t>
            </w:r>
          </w:p>
        </w:tc>
      </w:tr>
      <w:tr w:rsidR="00E66558" w:rsidRPr="006C0B45"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DF4361" w:rsidRDefault="009D71E8">
            <w:pPr>
              <w:pStyle w:val="TableRow"/>
              <w:rPr>
                <w:sz w:val="20"/>
                <w:szCs w:val="20"/>
              </w:rPr>
            </w:pPr>
            <w:r w:rsidRPr="00DF4361">
              <w:rPr>
                <w:sz w:val="20"/>
                <w:szCs w:val="20"/>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44231" w14:textId="364B3387" w:rsidR="00572233" w:rsidRPr="00DF4361" w:rsidRDefault="00572233" w:rsidP="00572233">
            <w:pPr>
              <w:rPr>
                <w:b/>
                <w:color w:val="auto"/>
                <w:sz w:val="20"/>
                <w:szCs w:val="20"/>
              </w:rPr>
            </w:pPr>
            <w:r w:rsidRPr="00DF4361">
              <w:rPr>
                <w:b/>
                <w:sz w:val="20"/>
                <w:szCs w:val="20"/>
              </w:rPr>
              <w:t>Family and environment</w:t>
            </w:r>
            <w:r w:rsidR="00145DE7" w:rsidRPr="00DF4361">
              <w:rPr>
                <w:b/>
                <w:sz w:val="20"/>
                <w:szCs w:val="20"/>
              </w:rPr>
              <w:t>:</w:t>
            </w:r>
          </w:p>
          <w:p w14:paraId="007BF805" w14:textId="77777777" w:rsidR="00572233" w:rsidRPr="00DF4361" w:rsidRDefault="00572233" w:rsidP="00572233">
            <w:pPr>
              <w:pStyle w:val="ListParagraph"/>
              <w:numPr>
                <w:ilvl w:val="0"/>
                <w:numId w:val="17"/>
              </w:numPr>
              <w:rPr>
                <w:sz w:val="20"/>
                <w:szCs w:val="20"/>
              </w:rPr>
            </w:pPr>
            <w:r w:rsidRPr="00DF4361">
              <w:rPr>
                <w:sz w:val="20"/>
                <w:szCs w:val="20"/>
              </w:rPr>
              <w:t>Attendance and punctuality</w:t>
            </w:r>
          </w:p>
          <w:p w14:paraId="2EE67D5B" w14:textId="050A0060" w:rsidR="00572233" w:rsidRPr="00DF4361" w:rsidRDefault="00572233" w:rsidP="00572233">
            <w:pPr>
              <w:pStyle w:val="ListParagraph"/>
              <w:numPr>
                <w:ilvl w:val="0"/>
                <w:numId w:val="17"/>
              </w:numPr>
              <w:rPr>
                <w:sz w:val="20"/>
                <w:szCs w:val="20"/>
              </w:rPr>
            </w:pPr>
            <w:r w:rsidRPr="00DF4361">
              <w:rPr>
                <w:sz w:val="20"/>
                <w:szCs w:val="20"/>
              </w:rPr>
              <w:t xml:space="preserve">Parental engagement with school </w:t>
            </w:r>
            <w:r w:rsidR="00A72F55">
              <w:rPr>
                <w:sz w:val="20"/>
                <w:szCs w:val="20"/>
              </w:rPr>
              <w:t>from a small number of vulnerable families</w:t>
            </w:r>
          </w:p>
          <w:p w14:paraId="5B63E5F9" w14:textId="77777777" w:rsidR="00572233" w:rsidRPr="00DF4361" w:rsidRDefault="00572233" w:rsidP="00572233">
            <w:pPr>
              <w:pStyle w:val="ListParagraph"/>
              <w:numPr>
                <w:ilvl w:val="0"/>
                <w:numId w:val="17"/>
              </w:numPr>
              <w:rPr>
                <w:sz w:val="20"/>
                <w:szCs w:val="20"/>
              </w:rPr>
            </w:pPr>
            <w:r w:rsidRPr="00DF4361">
              <w:rPr>
                <w:sz w:val="20"/>
                <w:szCs w:val="20"/>
              </w:rPr>
              <w:t>Number of adverse childhood experiences</w:t>
            </w:r>
          </w:p>
          <w:p w14:paraId="227A659A" w14:textId="77777777" w:rsidR="00572233" w:rsidRPr="00DF4361" w:rsidRDefault="00572233" w:rsidP="00572233">
            <w:pPr>
              <w:pStyle w:val="ListParagraph"/>
              <w:numPr>
                <w:ilvl w:val="0"/>
                <w:numId w:val="17"/>
              </w:numPr>
              <w:rPr>
                <w:sz w:val="20"/>
                <w:szCs w:val="20"/>
              </w:rPr>
            </w:pPr>
            <w:r w:rsidRPr="00DF4361">
              <w:rPr>
                <w:sz w:val="20"/>
                <w:szCs w:val="20"/>
              </w:rPr>
              <w:t xml:space="preserve">Single parent families </w:t>
            </w:r>
          </w:p>
          <w:p w14:paraId="4C988289" w14:textId="3A3AF0D3" w:rsidR="00572233" w:rsidRPr="00DF4361" w:rsidRDefault="00572233" w:rsidP="00572233">
            <w:pPr>
              <w:pStyle w:val="ListParagraph"/>
              <w:numPr>
                <w:ilvl w:val="0"/>
                <w:numId w:val="17"/>
              </w:numPr>
              <w:rPr>
                <w:sz w:val="20"/>
                <w:szCs w:val="20"/>
              </w:rPr>
            </w:pPr>
            <w:r w:rsidRPr="00DF4361">
              <w:rPr>
                <w:sz w:val="20"/>
                <w:szCs w:val="20"/>
              </w:rPr>
              <w:t>Financial issues</w:t>
            </w:r>
            <w:r w:rsidR="00A72F55">
              <w:rPr>
                <w:sz w:val="20"/>
                <w:szCs w:val="20"/>
              </w:rPr>
              <w:t xml:space="preserve"> due to the Cost of Living Crisis</w:t>
            </w:r>
          </w:p>
          <w:p w14:paraId="11D4A773" w14:textId="77777777" w:rsidR="00572233" w:rsidRPr="00DF4361" w:rsidRDefault="00572233" w:rsidP="00572233">
            <w:pPr>
              <w:pStyle w:val="ListParagraph"/>
              <w:numPr>
                <w:ilvl w:val="0"/>
                <w:numId w:val="17"/>
              </w:numPr>
              <w:rPr>
                <w:sz w:val="20"/>
                <w:szCs w:val="20"/>
              </w:rPr>
            </w:pPr>
            <w:r w:rsidRPr="00DF4361">
              <w:rPr>
                <w:sz w:val="20"/>
                <w:szCs w:val="20"/>
              </w:rPr>
              <w:t>Lack of exposure to cultural opportunities</w:t>
            </w:r>
          </w:p>
          <w:p w14:paraId="2A7D54F4" w14:textId="017E4116" w:rsidR="00E66558" w:rsidRPr="00DF4361" w:rsidRDefault="00572233" w:rsidP="00572233">
            <w:pPr>
              <w:pStyle w:val="ListParagraph"/>
              <w:numPr>
                <w:ilvl w:val="0"/>
                <w:numId w:val="17"/>
              </w:numPr>
              <w:rPr>
                <w:sz w:val="20"/>
                <w:szCs w:val="20"/>
              </w:rPr>
            </w:pPr>
            <w:r w:rsidRPr="00DF4361">
              <w:rPr>
                <w:sz w:val="20"/>
                <w:szCs w:val="20"/>
              </w:rPr>
              <w:t>Lack of access to green spaces and nature</w:t>
            </w:r>
          </w:p>
        </w:tc>
      </w:tr>
      <w:tr w:rsidR="00E66558" w:rsidRPr="006C0B45"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533F028" w:rsidR="00E66558" w:rsidRPr="00DF4361" w:rsidRDefault="00B82696">
            <w:pPr>
              <w:pStyle w:val="TableRow"/>
              <w:rPr>
                <w:sz w:val="20"/>
                <w:szCs w:val="20"/>
              </w:rPr>
            </w:pPr>
            <w:r>
              <w:rPr>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46CE1" w14:textId="63E50775" w:rsidR="00572233" w:rsidRPr="00DF4361" w:rsidRDefault="00572233" w:rsidP="00572233">
            <w:pPr>
              <w:rPr>
                <w:rFonts w:cs="Arial"/>
                <w:b/>
                <w:color w:val="auto"/>
                <w:sz w:val="20"/>
                <w:szCs w:val="20"/>
              </w:rPr>
            </w:pPr>
            <w:r w:rsidRPr="00DF4361">
              <w:rPr>
                <w:rFonts w:cs="Arial"/>
                <w:b/>
                <w:sz w:val="20"/>
                <w:szCs w:val="20"/>
              </w:rPr>
              <w:t>Social, Emotional and Mental Health</w:t>
            </w:r>
            <w:r w:rsidR="00145DE7" w:rsidRPr="00DF4361">
              <w:rPr>
                <w:rFonts w:cs="Arial"/>
                <w:b/>
                <w:sz w:val="20"/>
                <w:szCs w:val="20"/>
              </w:rPr>
              <w:t>:</w:t>
            </w:r>
          </w:p>
          <w:p w14:paraId="6E71F057" w14:textId="6AD002C9" w:rsidR="00572233" w:rsidRPr="00DF4361" w:rsidRDefault="00572233" w:rsidP="00572233">
            <w:pPr>
              <w:pStyle w:val="ListParagraph"/>
              <w:numPr>
                <w:ilvl w:val="0"/>
                <w:numId w:val="19"/>
              </w:numPr>
              <w:rPr>
                <w:rFonts w:cs="Arial"/>
                <w:sz w:val="20"/>
                <w:szCs w:val="20"/>
              </w:rPr>
            </w:pPr>
            <w:r w:rsidRPr="00DF4361">
              <w:rPr>
                <w:rFonts w:cs="Arial"/>
                <w:sz w:val="20"/>
                <w:szCs w:val="20"/>
              </w:rPr>
              <w:t>Low motivation and self-esteem</w:t>
            </w:r>
            <w:r w:rsidR="00FB0DEA">
              <w:rPr>
                <w:rFonts w:cs="Arial"/>
                <w:sz w:val="20"/>
                <w:szCs w:val="20"/>
              </w:rPr>
              <w:t xml:space="preserve"> leading to poor academic outcomes.</w:t>
            </w:r>
          </w:p>
          <w:p w14:paraId="241E3C82" w14:textId="4907D780" w:rsidR="00572233" w:rsidRPr="00DF4361" w:rsidRDefault="00572233" w:rsidP="00572233">
            <w:pPr>
              <w:pStyle w:val="ListParagraph"/>
              <w:numPr>
                <w:ilvl w:val="0"/>
                <w:numId w:val="19"/>
              </w:numPr>
              <w:rPr>
                <w:rFonts w:cs="Arial"/>
                <w:sz w:val="20"/>
                <w:szCs w:val="20"/>
              </w:rPr>
            </w:pPr>
            <w:r w:rsidRPr="00DF4361">
              <w:rPr>
                <w:rFonts w:cs="Arial"/>
                <w:sz w:val="20"/>
                <w:szCs w:val="20"/>
              </w:rPr>
              <w:t>Poor focus and concentration</w:t>
            </w:r>
            <w:r w:rsidR="00FB0DEA">
              <w:rPr>
                <w:rFonts w:cs="Arial"/>
                <w:sz w:val="20"/>
                <w:szCs w:val="20"/>
              </w:rPr>
              <w:t xml:space="preserve"> leading to poor academic outcomes.</w:t>
            </w:r>
          </w:p>
          <w:p w14:paraId="3704074B" w14:textId="6BE2DFBA" w:rsidR="00572233" w:rsidRPr="00DF4361" w:rsidRDefault="00572233" w:rsidP="00572233">
            <w:pPr>
              <w:pStyle w:val="ListParagraph"/>
              <w:numPr>
                <w:ilvl w:val="0"/>
                <w:numId w:val="19"/>
              </w:numPr>
              <w:rPr>
                <w:rFonts w:cs="Arial"/>
                <w:sz w:val="20"/>
                <w:szCs w:val="20"/>
              </w:rPr>
            </w:pPr>
            <w:r w:rsidRPr="00DF4361">
              <w:rPr>
                <w:rFonts w:cs="Arial"/>
                <w:sz w:val="20"/>
                <w:szCs w:val="20"/>
              </w:rPr>
              <w:t>Emotional regulation difficulties</w:t>
            </w:r>
            <w:r w:rsidR="00FB0DEA">
              <w:rPr>
                <w:rFonts w:cs="Arial"/>
                <w:sz w:val="20"/>
                <w:szCs w:val="20"/>
              </w:rPr>
              <w:t xml:space="preserve"> leading to missing </w:t>
            </w:r>
          </w:p>
          <w:p w14:paraId="30988756" w14:textId="77777777" w:rsidR="00572233" w:rsidRPr="00DF4361" w:rsidRDefault="00572233" w:rsidP="00572233">
            <w:pPr>
              <w:pStyle w:val="ListParagraph"/>
              <w:numPr>
                <w:ilvl w:val="0"/>
                <w:numId w:val="19"/>
              </w:numPr>
              <w:rPr>
                <w:rFonts w:cs="Arial"/>
                <w:sz w:val="20"/>
                <w:szCs w:val="20"/>
              </w:rPr>
            </w:pPr>
            <w:r w:rsidRPr="00DF4361">
              <w:rPr>
                <w:rFonts w:cs="Arial"/>
                <w:sz w:val="20"/>
                <w:szCs w:val="20"/>
              </w:rPr>
              <w:t>Low levels of resilience</w:t>
            </w:r>
          </w:p>
          <w:p w14:paraId="668CC5D5" w14:textId="77777777" w:rsidR="00572233" w:rsidRPr="00DF4361" w:rsidRDefault="00572233" w:rsidP="00572233">
            <w:pPr>
              <w:pStyle w:val="ListParagraph"/>
              <w:numPr>
                <w:ilvl w:val="0"/>
                <w:numId w:val="19"/>
              </w:numPr>
              <w:rPr>
                <w:rFonts w:cs="Arial"/>
                <w:sz w:val="20"/>
                <w:szCs w:val="20"/>
              </w:rPr>
            </w:pPr>
            <w:r w:rsidRPr="00DF4361">
              <w:rPr>
                <w:rFonts w:cs="Arial"/>
                <w:sz w:val="20"/>
                <w:szCs w:val="20"/>
              </w:rPr>
              <w:t>Attachment issues</w:t>
            </w:r>
          </w:p>
          <w:p w14:paraId="418E632E" w14:textId="77777777" w:rsidR="00572233" w:rsidRPr="00DF4361" w:rsidRDefault="00572233" w:rsidP="00572233">
            <w:pPr>
              <w:pStyle w:val="ListParagraph"/>
              <w:numPr>
                <w:ilvl w:val="0"/>
                <w:numId w:val="19"/>
              </w:numPr>
              <w:rPr>
                <w:rFonts w:cs="Arial"/>
                <w:sz w:val="20"/>
                <w:szCs w:val="20"/>
              </w:rPr>
            </w:pPr>
            <w:r w:rsidRPr="00DF4361">
              <w:rPr>
                <w:rFonts w:cs="Arial"/>
                <w:sz w:val="20"/>
                <w:szCs w:val="20"/>
              </w:rPr>
              <w:t>Anxiety</w:t>
            </w:r>
          </w:p>
          <w:p w14:paraId="2A7D54FA" w14:textId="307770EA" w:rsidR="00E66558" w:rsidRPr="00DF4361" w:rsidRDefault="00572233" w:rsidP="00572233">
            <w:pPr>
              <w:pStyle w:val="ListParagraph"/>
              <w:numPr>
                <w:ilvl w:val="0"/>
                <w:numId w:val="19"/>
              </w:numPr>
              <w:rPr>
                <w:iCs/>
                <w:sz w:val="20"/>
                <w:szCs w:val="20"/>
              </w:rPr>
            </w:pPr>
            <w:r w:rsidRPr="00DF4361">
              <w:rPr>
                <w:rFonts w:cs="Arial"/>
                <w:sz w:val="20"/>
                <w:szCs w:val="20"/>
              </w:rPr>
              <w:t>Sensory perceptual issues</w:t>
            </w:r>
          </w:p>
        </w:tc>
      </w:tr>
      <w:tr w:rsidR="00E66558" w:rsidRPr="006C0B45"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03758A" w:rsidR="00E66558" w:rsidRPr="00DF4361" w:rsidRDefault="004C225C">
            <w:pPr>
              <w:pStyle w:val="TableRow"/>
              <w:rPr>
                <w:sz w:val="20"/>
                <w:szCs w:val="20"/>
              </w:rPr>
            </w:pPr>
            <w:bookmarkStart w:id="17" w:name="_Toc443397160"/>
            <w:r>
              <w:rPr>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F224B" w14:textId="7D59DBD1" w:rsidR="00572233" w:rsidRPr="00DF4361" w:rsidRDefault="00572233" w:rsidP="00572233">
            <w:pPr>
              <w:rPr>
                <w:rFonts w:cs="Arial"/>
                <w:b/>
                <w:color w:val="auto"/>
                <w:sz w:val="20"/>
                <w:szCs w:val="20"/>
              </w:rPr>
            </w:pPr>
            <w:r w:rsidRPr="00DF4361">
              <w:rPr>
                <w:rFonts w:cs="Arial"/>
                <w:b/>
                <w:sz w:val="20"/>
                <w:szCs w:val="20"/>
              </w:rPr>
              <w:t>Areas particularly exacerbated by the</w:t>
            </w:r>
            <w:r w:rsidR="00DF4361" w:rsidRPr="00DF4361">
              <w:rPr>
                <w:rFonts w:cs="Arial"/>
                <w:b/>
                <w:sz w:val="20"/>
                <w:szCs w:val="20"/>
              </w:rPr>
              <w:t xml:space="preserve"> post</w:t>
            </w:r>
            <w:r w:rsidRPr="00DF4361">
              <w:rPr>
                <w:rFonts w:cs="Arial"/>
                <w:b/>
                <w:sz w:val="20"/>
                <w:szCs w:val="20"/>
              </w:rPr>
              <w:t xml:space="preserve"> pandemic</w:t>
            </w:r>
            <w:r w:rsidR="00DF4361" w:rsidRPr="00DF4361">
              <w:rPr>
                <w:rFonts w:cs="Arial"/>
                <w:b/>
                <w:sz w:val="20"/>
                <w:szCs w:val="20"/>
              </w:rPr>
              <w:t xml:space="preserve"> environment</w:t>
            </w:r>
            <w:r w:rsidRPr="00DF4361">
              <w:rPr>
                <w:rFonts w:cs="Arial"/>
                <w:b/>
                <w:sz w:val="20"/>
                <w:szCs w:val="20"/>
              </w:rPr>
              <w:t>:</w:t>
            </w:r>
          </w:p>
          <w:p w14:paraId="4D834002" w14:textId="77777777" w:rsidR="00572233" w:rsidRPr="00DF4361" w:rsidRDefault="00572233" w:rsidP="00572233">
            <w:pPr>
              <w:pStyle w:val="ListParagraph"/>
              <w:numPr>
                <w:ilvl w:val="0"/>
                <w:numId w:val="20"/>
              </w:numPr>
              <w:rPr>
                <w:rFonts w:cs="Arial"/>
                <w:sz w:val="20"/>
                <w:szCs w:val="20"/>
              </w:rPr>
            </w:pPr>
            <w:r w:rsidRPr="00DF4361">
              <w:rPr>
                <w:rFonts w:cs="Arial"/>
                <w:sz w:val="20"/>
                <w:szCs w:val="20"/>
              </w:rPr>
              <w:t xml:space="preserve">General increase in anxiety </w:t>
            </w:r>
          </w:p>
          <w:p w14:paraId="3F3B5F5F" w14:textId="77777777" w:rsidR="00572233" w:rsidRPr="00DF4361" w:rsidRDefault="00572233" w:rsidP="00572233">
            <w:pPr>
              <w:pStyle w:val="ListParagraph"/>
              <w:numPr>
                <w:ilvl w:val="0"/>
                <w:numId w:val="20"/>
              </w:numPr>
              <w:rPr>
                <w:rFonts w:cs="Arial"/>
                <w:sz w:val="20"/>
                <w:szCs w:val="20"/>
              </w:rPr>
            </w:pPr>
            <w:r w:rsidRPr="00DF4361">
              <w:rPr>
                <w:rFonts w:cs="Arial"/>
                <w:sz w:val="20"/>
                <w:szCs w:val="20"/>
              </w:rPr>
              <w:t>Decreased stamina for learning</w:t>
            </w:r>
          </w:p>
          <w:p w14:paraId="63C6A6C3" w14:textId="5BADD32E" w:rsidR="00572233" w:rsidRPr="00DF4361" w:rsidRDefault="00572233" w:rsidP="00572233">
            <w:pPr>
              <w:pStyle w:val="ListParagraph"/>
              <w:numPr>
                <w:ilvl w:val="0"/>
                <w:numId w:val="20"/>
              </w:numPr>
              <w:rPr>
                <w:rFonts w:cs="Arial"/>
                <w:sz w:val="20"/>
                <w:szCs w:val="20"/>
              </w:rPr>
            </w:pPr>
            <w:r w:rsidRPr="00DF4361">
              <w:rPr>
                <w:rFonts w:cs="Arial"/>
                <w:sz w:val="20"/>
                <w:szCs w:val="20"/>
              </w:rPr>
              <w:t>Dealing with bereavement for significant number of children</w:t>
            </w:r>
          </w:p>
          <w:p w14:paraId="56F86C37" w14:textId="77777777" w:rsidR="00572233" w:rsidRPr="00DF4361" w:rsidRDefault="00572233" w:rsidP="00572233">
            <w:pPr>
              <w:pStyle w:val="ListParagraph"/>
              <w:numPr>
                <w:ilvl w:val="0"/>
                <w:numId w:val="20"/>
              </w:numPr>
              <w:rPr>
                <w:rFonts w:cs="Arial"/>
                <w:sz w:val="20"/>
                <w:szCs w:val="20"/>
              </w:rPr>
            </w:pPr>
            <w:r w:rsidRPr="00DF4361">
              <w:rPr>
                <w:rFonts w:cs="Arial"/>
                <w:sz w:val="20"/>
                <w:szCs w:val="20"/>
              </w:rPr>
              <w:t>Financial problems for families impacting on their ability to support their children</w:t>
            </w:r>
          </w:p>
          <w:p w14:paraId="67EFA5A8" w14:textId="70A335E2" w:rsidR="00E66558" w:rsidRPr="00DF4361" w:rsidRDefault="00572233" w:rsidP="00572233">
            <w:pPr>
              <w:pStyle w:val="ListParagraph"/>
              <w:numPr>
                <w:ilvl w:val="0"/>
                <w:numId w:val="20"/>
              </w:numPr>
              <w:rPr>
                <w:iCs/>
                <w:sz w:val="20"/>
                <w:szCs w:val="20"/>
              </w:rPr>
            </w:pPr>
            <w:r w:rsidRPr="00DF4361">
              <w:rPr>
                <w:rFonts w:cs="Arial"/>
                <w:sz w:val="20"/>
                <w:szCs w:val="20"/>
              </w:rPr>
              <w:t xml:space="preserve">Ongoing impact due to the </w:t>
            </w:r>
            <w:r w:rsidR="008C2D62" w:rsidRPr="00DF4361">
              <w:rPr>
                <w:rFonts w:cs="Arial"/>
                <w:sz w:val="20"/>
                <w:szCs w:val="20"/>
              </w:rPr>
              <w:t xml:space="preserve">sporadic attendance linked to positive COVID </w:t>
            </w:r>
            <w:r w:rsidR="00981D5C" w:rsidRPr="00DF4361">
              <w:rPr>
                <w:rFonts w:cs="Arial"/>
                <w:sz w:val="20"/>
                <w:szCs w:val="20"/>
              </w:rPr>
              <w:t>cases.</w:t>
            </w:r>
          </w:p>
          <w:p w14:paraId="67EBB56E" w14:textId="77777777" w:rsidR="00572233" w:rsidRPr="00DF4361" w:rsidRDefault="00572233" w:rsidP="00572233">
            <w:pPr>
              <w:pStyle w:val="ListParagraph"/>
              <w:numPr>
                <w:ilvl w:val="0"/>
                <w:numId w:val="20"/>
              </w:numPr>
              <w:rPr>
                <w:iCs/>
                <w:sz w:val="20"/>
                <w:szCs w:val="20"/>
              </w:rPr>
            </w:pPr>
            <w:r w:rsidRPr="00DF4361">
              <w:rPr>
                <w:iCs/>
                <w:sz w:val="20"/>
                <w:szCs w:val="20"/>
              </w:rPr>
              <w:t xml:space="preserve">Lost learning due to </w:t>
            </w:r>
            <w:proofErr w:type="gramStart"/>
            <w:r w:rsidRPr="00DF4361">
              <w:rPr>
                <w:iCs/>
                <w:sz w:val="20"/>
                <w:szCs w:val="20"/>
              </w:rPr>
              <w:t>families</w:t>
            </w:r>
            <w:proofErr w:type="gramEnd"/>
            <w:r w:rsidRPr="00DF4361">
              <w:rPr>
                <w:iCs/>
                <w:sz w:val="20"/>
                <w:szCs w:val="20"/>
              </w:rPr>
              <w:t xml:space="preserve"> poor engagement with home learning</w:t>
            </w:r>
          </w:p>
          <w:p w14:paraId="2A7D54FD" w14:textId="4367099C" w:rsidR="00981D5C" w:rsidRPr="00DF4361" w:rsidRDefault="00981D5C" w:rsidP="00572233">
            <w:pPr>
              <w:pStyle w:val="ListParagraph"/>
              <w:numPr>
                <w:ilvl w:val="0"/>
                <w:numId w:val="20"/>
              </w:numPr>
              <w:rPr>
                <w:iCs/>
                <w:sz w:val="20"/>
                <w:szCs w:val="20"/>
              </w:rPr>
            </w:pPr>
            <w:r w:rsidRPr="00DF4361">
              <w:rPr>
                <w:iCs/>
                <w:sz w:val="20"/>
                <w:szCs w:val="20"/>
              </w:rPr>
              <w:t>Family breakdowns due to stress associated with the pandemic.</w:t>
            </w:r>
          </w:p>
        </w:tc>
      </w:tr>
    </w:tbl>
    <w:p w14:paraId="2A7D54FF" w14:textId="77777777" w:rsidR="00E66558" w:rsidRPr="004C225C" w:rsidRDefault="009D71E8">
      <w:pPr>
        <w:pStyle w:val="Heading2"/>
        <w:spacing w:before="600"/>
        <w:rPr>
          <w:sz w:val="20"/>
          <w:szCs w:val="20"/>
        </w:rPr>
      </w:pPr>
      <w:r w:rsidRPr="004C225C">
        <w:rPr>
          <w:sz w:val="20"/>
          <w:szCs w:val="20"/>
        </w:rPr>
        <w:t xml:space="preserve">Intended outcomes </w:t>
      </w:r>
    </w:p>
    <w:p w14:paraId="2A7D5500" w14:textId="77777777" w:rsidR="00E66558" w:rsidRPr="004C225C" w:rsidRDefault="009D71E8">
      <w:pPr>
        <w:rPr>
          <w:sz w:val="20"/>
          <w:szCs w:val="20"/>
        </w:rPr>
      </w:pPr>
      <w:r w:rsidRPr="004C225C">
        <w:rPr>
          <w:color w:val="auto"/>
          <w:sz w:val="20"/>
          <w:szCs w:val="20"/>
        </w:rPr>
        <w:t xml:space="preserve">This explains the outcomes we are aiming for </w:t>
      </w:r>
      <w:r w:rsidRPr="004C225C">
        <w:rPr>
          <w:b/>
          <w:bCs/>
          <w:color w:val="auto"/>
          <w:sz w:val="20"/>
          <w:szCs w:val="20"/>
        </w:rPr>
        <w:t>by the end of our current strategy plan</w:t>
      </w:r>
      <w:r w:rsidRPr="004C225C">
        <w:rPr>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431"/>
        <w:gridCol w:w="3403"/>
        <w:gridCol w:w="2652"/>
      </w:tblGrid>
      <w:tr w:rsidR="00156ECB" w:rsidRPr="00A72F55" w14:paraId="2A7D5503" w14:textId="34B7755C" w:rsidTr="00156ECB">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1" w14:textId="77777777" w:rsidR="00156ECB" w:rsidRPr="00156ECB" w:rsidRDefault="00156ECB">
            <w:pPr>
              <w:pStyle w:val="TableHeader"/>
              <w:jc w:val="left"/>
              <w:rPr>
                <w:sz w:val="20"/>
                <w:szCs w:val="20"/>
              </w:rPr>
            </w:pPr>
            <w:r w:rsidRPr="00156ECB">
              <w:rPr>
                <w:sz w:val="20"/>
                <w:szCs w:val="20"/>
              </w:rPr>
              <w:t>Intended outcome</w:t>
            </w:r>
          </w:p>
        </w:tc>
        <w:tc>
          <w:tcPr>
            <w:tcW w:w="34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156ECB" w:rsidRPr="00A72F55" w:rsidRDefault="00156ECB">
            <w:pPr>
              <w:pStyle w:val="TableHeader"/>
              <w:jc w:val="left"/>
              <w:rPr>
                <w:sz w:val="20"/>
                <w:szCs w:val="20"/>
                <w:highlight w:val="yellow"/>
              </w:rPr>
            </w:pPr>
            <w:r w:rsidRPr="00156ECB">
              <w:rPr>
                <w:sz w:val="20"/>
                <w:szCs w:val="20"/>
              </w:rPr>
              <w:t>Success criteria</w:t>
            </w:r>
          </w:p>
        </w:tc>
        <w:tc>
          <w:tcPr>
            <w:tcW w:w="2652" w:type="dxa"/>
            <w:tcBorders>
              <w:top w:val="single" w:sz="4" w:space="0" w:color="000000"/>
              <w:left w:val="single" w:sz="4" w:space="0" w:color="000000"/>
              <w:bottom w:val="single" w:sz="4" w:space="0" w:color="000000"/>
              <w:right w:val="single" w:sz="4" w:space="0" w:color="000000"/>
            </w:tcBorders>
            <w:shd w:val="clear" w:color="auto" w:fill="D8E2E9"/>
          </w:tcPr>
          <w:p w14:paraId="7D1E1319" w14:textId="3E9AF351" w:rsidR="00156ECB" w:rsidRPr="00156ECB" w:rsidRDefault="006627CD">
            <w:pPr>
              <w:pStyle w:val="TableHeader"/>
              <w:jc w:val="left"/>
              <w:rPr>
                <w:sz w:val="20"/>
                <w:szCs w:val="20"/>
              </w:rPr>
            </w:pPr>
            <w:r>
              <w:rPr>
                <w:sz w:val="20"/>
                <w:szCs w:val="20"/>
              </w:rPr>
              <w:t>Linked to Challenges</w:t>
            </w:r>
          </w:p>
        </w:tc>
      </w:tr>
      <w:tr w:rsidR="00156ECB" w:rsidRPr="00A72F55" w14:paraId="2A7D5506" w14:textId="05CFADA2" w:rsidTr="00156ECB">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EF09573" w:rsidR="00156ECB" w:rsidRPr="00156ECB" w:rsidRDefault="00156ECB">
            <w:pPr>
              <w:pStyle w:val="TableRow"/>
              <w:rPr>
                <w:sz w:val="20"/>
                <w:szCs w:val="20"/>
              </w:rPr>
            </w:pPr>
            <w:r w:rsidRPr="00156ECB">
              <w:rPr>
                <w:sz w:val="20"/>
                <w:szCs w:val="20"/>
              </w:rPr>
              <w:t>Gap between disadvantaged pupils and others is no bigger than at end of 2023/24, those who have ‘fallen behind’ make accelerated progress and ‘catch</w:t>
            </w:r>
            <w:r>
              <w:rPr>
                <w:sz w:val="20"/>
                <w:szCs w:val="20"/>
              </w:rPr>
              <w:t>-</w:t>
            </w:r>
            <w:r w:rsidRPr="00156ECB">
              <w:rPr>
                <w:sz w:val="20"/>
                <w:szCs w:val="20"/>
              </w:rPr>
              <w:t>up’ or exceed prior attainment standards.</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9E74" w14:textId="77777777" w:rsidR="00156ECB" w:rsidRPr="00156ECB" w:rsidRDefault="00156ECB" w:rsidP="00145DE7">
            <w:pPr>
              <w:pStyle w:val="TableRowCentered"/>
              <w:jc w:val="left"/>
              <w:rPr>
                <w:sz w:val="20"/>
              </w:rPr>
            </w:pPr>
            <w:r w:rsidRPr="00156ECB">
              <w:rPr>
                <w:sz w:val="20"/>
              </w:rPr>
              <w:t>Teachers report that engagement in lessons is positively comparable between D and ND groups.</w:t>
            </w:r>
          </w:p>
          <w:p w14:paraId="243BC931" w14:textId="1FB3851F" w:rsidR="00156ECB" w:rsidRPr="00156ECB" w:rsidRDefault="00156ECB" w:rsidP="00145DE7">
            <w:pPr>
              <w:pStyle w:val="TableRowCentered"/>
              <w:jc w:val="left"/>
              <w:rPr>
                <w:sz w:val="20"/>
              </w:rPr>
            </w:pPr>
            <w:r w:rsidRPr="00156ECB">
              <w:rPr>
                <w:sz w:val="20"/>
              </w:rPr>
              <w:t xml:space="preserve">D children will be a focus when any additional academic groups or interventions are considered in school and positively discriminated for. </w:t>
            </w:r>
          </w:p>
          <w:p w14:paraId="4506C337" w14:textId="2779D311" w:rsidR="00156ECB" w:rsidRPr="00156ECB" w:rsidRDefault="00156ECB" w:rsidP="00145DE7">
            <w:pPr>
              <w:pStyle w:val="TableRowCentered"/>
              <w:jc w:val="left"/>
              <w:rPr>
                <w:sz w:val="20"/>
              </w:rPr>
            </w:pPr>
            <w:r w:rsidRPr="00156ECB">
              <w:rPr>
                <w:sz w:val="20"/>
              </w:rPr>
              <w:t>D books will be marked in all lessons to ensure understanding.</w:t>
            </w:r>
          </w:p>
          <w:p w14:paraId="0A3EB986" w14:textId="23CF6D5C" w:rsidR="00156ECB" w:rsidRPr="00156ECB" w:rsidRDefault="00156ECB" w:rsidP="003615CE">
            <w:pPr>
              <w:pStyle w:val="TableRowCentered"/>
              <w:jc w:val="left"/>
              <w:rPr>
                <w:sz w:val="20"/>
              </w:rPr>
            </w:pPr>
            <w:r w:rsidRPr="00156ECB">
              <w:rPr>
                <w:sz w:val="20"/>
              </w:rPr>
              <w:t>The attainment and progress of Pupil Premium will be closely monitored using the new assessment system.</w:t>
            </w:r>
          </w:p>
          <w:p w14:paraId="67A32050" w14:textId="1ECBB991" w:rsidR="00156ECB" w:rsidRPr="00156ECB" w:rsidRDefault="00156ECB" w:rsidP="003615CE">
            <w:pPr>
              <w:pStyle w:val="TableRowCentered"/>
              <w:jc w:val="left"/>
              <w:rPr>
                <w:sz w:val="20"/>
              </w:rPr>
            </w:pPr>
            <w:r w:rsidRPr="00156ECB">
              <w:rPr>
                <w:sz w:val="20"/>
              </w:rPr>
              <w:lastRenderedPageBreak/>
              <w:t>From baseline measures, trajectories are set that are monitored closely, including in year pre and post interventions. Teacher assessment provides evidence of accelerated progress and the gap with ND is closing.</w:t>
            </w:r>
          </w:p>
          <w:p w14:paraId="11EEEB64" w14:textId="07A2EA1A" w:rsidR="00156ECB" w:rsidRPr="00156ECB" w:rsidRDefault="00156ECB" w:rsidP="003615CE">
            <w:pPr>
              <w:pStyle w:val="TableRowCentered"/>
              <w:jc w:val="left"/>
              <w:rPr>
                <w:sz w:val="20"/>
              </w:rPr>
            </w:pPr>
            <w:r w:rsidRPr="00156ECB">
              <w:rPr>
                <w:sz w:val="20"/>
              </w:rPr>
              <w:t>The causes of the learning gaps for D pupils are identified and provision adapted appropriately to address needs.</w:t>
            </w:r>
          </w:p>
          <w:p w14:paraId="0FFBA065" w14:textId="399BCA1B" w:rsidR="00156ECB" w:rsidRPr="00156ECB" w:rsidRDefault="00156ECB" w:rsidP="003615CE">
            <w:pPr>
              <w:pStyle w:val="TableRowCentered"/>
              <w:jc w:val="left"/>
              <w:rPr>
                <w:sz w:val="20"/>
              </w:rPr>
            </w:pPr>
            <w:r w:rsidRPr="00156ECB">
              <w:rPr>
                <w:sz w:val="20"/>
              </w:rPr>
              <w:t>Birmingham Toolkit, small step assessments will be undertaken to identify learning gaps for D pupils.</w:t>
            </w:r>
          </w:p>
          <w:p w14:paraId="2A7D5505" w14:textId="5F3588D6" w:rsidR="00156ECB" w:rsidRPr="00156ECB" w:rsidRDefault="00156ECB" w:rsidP="003615CE">
            <w:pPr>
              <w:pStyle w:val="TableRowCentered"/>
              <w:jc w:val="left"/>
              <w:rPr>
                <w:sz w:val="20"/>
              </w:rPr>
            </w:pPr>
            <w:r w:rsidRPr="00156ECB">
              <w:rPr>
                <w:sz w:val="20"/>
              </w:rPr>
              <w:t>Actions taken to reduce the learning gaps are research informed and aligned with EEF reports and wider studies.</w:t>
            </w:r>
          </w:p>
        </w:tc>
        <w:tc>
          <w:tcPr>
            <w:tcW w:w="2652" w:type="dxa"/>
            <w:tcBorders>
              <w:top w:val="single" w:sz="4" w:space="0" w:color="000000"/>
              <w:left w:val="single" w:sz="4" w:space="0" w:color="000000"/>
              <w:bottom w:val="single" w:sz="4" w:space="0" w:color="000000"/>
              <w:right w:val="single" w:sz="4" w:space="0" w:color="000000"/>
            </w:tcBorders>
          </w:tcPr>
          <w:p w14:paraId="0B44C399" w14:textId="2C8D82BF" w:rsidR="00156ECB" w:rsidRPr="00156ECB" w:rsidRDefault="006627CD" w:rsidP="00145DE7">
            <w:pPr>
              <w:pStyle w:val="TableRowCentered"/>
              <w:jc w:val="left"/>
              <w:rPr>
                <w:sz w:val="20"/>
              </w:rPr>
            </w:pPr>
            <w:r>
              <w:rPr>
                <w:sz w:val="20"/>
              </w:rPr>
              <w:lastRenderedPageBreak/>
              <w:t>1</w:t>
            </w:r>
          </w:p>
        </w:tc>
      </w:tr>
      <w:tr w:rsidR="00156ECB" w:rsidRPr="00A72F55" w14:paraId="2A7D5509" w14:textId="68106A58" w:rsidTr="00156ECB">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F022" w14:textId="68BD3156" w:rsidR="00156ECB" w:rsidRPr="00156ECB" w:rsidRDefault="00156ECB" w:rsidP="00572233">
            <w:pPr>
              <w:pStyle w:val="7Tablebodycopy"/>
              <w:rPr>
                <w:szCs w:val="20"/>
              </w:rPr>
            </w:pPr>
            <w:r w:rsidRPr="00156ECB">
              <w:rPr>
                <w:szCs w:val="20"/>
              </w:rPr>
              <w:t xml:space="preserve">Pupils with identified social, emotional or health needs are supported by school staff so that their needs are removed or alleviated </w:t>
            </w:r>
          </w:p>
          <w:p w14:paraId="4B694D51" w14:textId="77777777" w:rsidR="00156ECB" w:rsidRPr="00156ECB" w:rsidRDefault="00156ECB" w:rsidP="00701AA1">
            <w:pPr>
              <w:pStyle w:val="TableRow"/>
              <w:ind w:left="0"/>
              <w:rPr>
                <w:sz w:val="20"/>
                <w:szCs w:val="20"/>
              </w:rPr>
            </w:pPr>
          </w:p>
          <w:p w14:paraId="2A7D5507" w14:textId="30C68857" w:rsidR="00156ECB" w:rsidRPr="00156ECB" w:rsidRDefault="00156ECB" w:rsidP="00701AA1">
            <w:pPr>
              <w:pStyle w:val="TableRow"/>
              <w:ind w:left="0"/>
              <w:rPr>
                <w:sz w:val="20"/>
                <w:szCs w:val="20"/>
              </w:rPr>
            </w:pPr>
            <w:r w:rsidRPr="00156ECB">
              <w:rPr>
                <w:sz w:val="20"/>
                <w:szCs w:val="20"/>
              </w:rPr>
              <w:t>Families with identified social, emotional or health needs are supported by school staff so that the needs are removed or alleviated</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CCFF" w14:textId="537494E4" w:rsidR="00156ECB" w:rsidRPr="00156ECB" w:rsidRDefault="00156ECB" w:rsidP="00701AA1">
            <w:pPr>
              <w:pStyle w:val="TableRowCentered"/>
              <w:jc w:val="left"/>
              <w:rPr>
                <w:sz w:val="20"/>
              </w:rPr>
            </w:pPr>
            <w:r w:rsidRPr="00156ECB">
              <w:rPr>
                <w:sz w:val="20"/>
              </w:rPr>
              <w:t>The causes of social, emotional health needs for D pupils are identified and provision adapted appropriately to address needs.</w:t>
            </w:r>
          </w:p>
          <w:p w14:paraId="00BA2757" w14:textId="5F91FF13" w:rsidR="00156ECB" w:rsidRPr="00156ECB" w:rsidRDefault="00156ECB">
            <w:pPr>
              <w:pStyle w:val="TableRowCentered"/>
              <w:jc w:val="left"/>
              <w:rPr>
                <w:sz w:val="20"/>
              </w:rPr>
            </w:pPr>
            <w:r w:rsidRPr="00156ECB">
              <w:rPr>
                <w:sz w:val="20"/>
              </w:rPr>
              <w:t>A range of evidence will indicate that positive progress towards the targets identified within the groups.</w:t>
            </w:r>
          </w:p>
          <w:p w14:paraId="697A3061" w14:textId="77777777" w:rsidR="00156ECB" w:rsidRPr="00156ECB" w:rsidRDefault="00156ECB" w:rsidP="00701AA1">
            <w:pPr>
              <w:pStyle w:val="TableRowCentered"/>
              <w:jc w:val="left"/>
              <w:rPr>
                <w:sz w:val="20"/>
              </w:rPr>
            </w:pPr>
            <w:r w:rsidRPr="00156ECB">
              <w:rPr>
                <w:sz w:val="20"/>
              </w:rPr>
              <w:t>There is a robust mental health strategy within school that addresses the needs identified.</w:t>
            </w:r>
          </w:p>
          <w:p w14:paraId="2A7D5508" w14:textId="2ABC4289" w:rsidR="00156ECB" w:rsidRPr="00156ECB" w:rsidRDefault="00156ECB" w:rsidP="00701AA1">
            <w:pPr>
              <w:pStyle w:val="TableRowCentered"/>
              <w:jc w:val="left"/>
              <w:rPr>
                <w:sz w:val="20"/>
              </w:rPr>
            </w:pPr>
            <w:r w:rsidRPr="00156ECB">
              <w:rPr>
                <w:sz w:val="20"/>
              </w:rPr>
              <w:t>Families who either self-identify or are identified by the school will report that they feel supported by the school to help mitigate or remove the barriers they are facing.</w:t>
            </w:r>
          </w:p>
        </w:tc>
        <w:tc>
          <w:tcPr>
            <w:tcW w:w="2652" w:type="dxa"/>
            <w:tcBorders>
              <w:top w:val="single" w:sz="4" w:space="0" w:color="000000"/>
              <w:left w:val="single" w:sz="4" w:space="0" w:color="000000"/>
              <w:bottom w:val="single" w:sz="4" w:space="0" w:color="000000"/>
              <w:right w:val="single" w:sz="4" w:space="0" w:color="000000"/>
            </w:tcBorders>
          </w:tcPr>
          <w:p w14:paraId="58CCA0C9" w14:textId="35DBE899" w:rsidR="00156ECB" w:rsidRPr="00156ECB" w:rsidRDefault="006627CD" w:rsidP="00701AA1">
            <w:pPr>
              <w:pStyle w:val="TableRowCentered"/>
              <w:jc w:val="left"/>
              <w:rPr>
                <w:sz w:val="20"/>
              </w:rPr>
            </w:pPr>
            <w:r>
              <w:rPr>
                <w:sz w:val="20"/>
              </w:rPr>
              <w:t xml:space="preserve">3/4 </w:t>
            </w:r>
          </w:p>
        </w:tc>
      </w:tr>
      <w:tr w:rsidR="00156ECB" w:rsidRPr="00A72F55" w14:paraId="2A7D550C" w14:textId="3D4131A9" w:rsidTr="00156ECB">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94E9442" w:rsidR="00156ECB" w:rsidRPr="00A72F55" w:rsidRDefault="00156ECB">
            <w:pPr>
              <w:pStyle w:val="TableRow"/>
              <w:rPr>
                <w:sz w:val="20"/>
                <w:szCs w:val="20"/>
                <w:highlight w:val="yellow"/>
              </w:rPr>
            </w:pPr>
            <w:r w:rsidRPr="006627CD">
              <w:rPr>
                <w:sz w:val="20"/>
                <w:szCs w:val="20"/>
              </w:rPr>
              <w:t>Pupils have a breadth of experiences that enable them to contextualize their learning and increase opportunities for success</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6733" w14:textId="2179556F" w:rsidR="00156ECB" w:rsidRDefault="00156ECB" w:rsidP="000B769F">
            <w:pPr>
              <w:pStyle w:val="TableRowCentered"/>
              <w:ind w:left="0"/>
              <w:jc w:val="left"/>
              <w:rPr>
                <w:sz w:val="20"/>
              </w:rPr>
            </w:pPr>
            <w:r w:rsidRPr="006627CD">
              <w:rPr>
                <w:sz w:val="20"/>
              </w:rPr>
              <w:t>The curriculum</w:t>
            </w:r>
            <w:r w:rsidR="006627CD" w:rsidRPr="006627CD">
              <w:rPr>
                <w:sz w:val="20"/>
              </w:rPr>
              <w:t xml:space="preserve"> will be redesigned to</w:t>
            </w:r>
            <w:r w:rsidRPr="006627CD">
              <w:rPr>
                <w:sz w:val="20"/>
              </w:rPr>
              <w:t xml:space="preserve"> identify and plan for opportunities to ensure enriching experiences occur.</w:t>
            </w:r>
          </w:p>
          <w:p w14:paraId="46CF5479" w14:textId="4B80F03F" w:rsidR="006627CD" w:rsidRPr="006627CD" w:rsidRDefault="006627CD" w:rsidP="000B769F">
            <w:pPr>
              <w:pStyle w:val="TableRowCentered"/>
              <w:ind w:left="0"/>
              <w:jc w:val="left"/>
              <w:rPr>
                <w:sz w:val="20"/>
              </w:rPr>
            </w:pPr>
            <w:r>
              <w:rPr>
                <w:sz w:val="20"/>
              </w:rPr>
              <w:t>Each year group will engage in an opportunity to explore how they can show ‘responsibility’ in their local community. E.g. Litter Picking.</w:t>
            </w:r>
          </w:p>
          <w:p w14:paraId="3DF675A5" w14:textId="77777777" w:rsidR="00156ECB" w:rsidRPr="006627CD" w:rsidRDefault="00156ECB" w:rsidP="000B769F">
            <w:pPr>
              <w:pStyle w:val="TableRowCentered"/>
              <w:ind w:left="0"/>
              <w:jc w:val="left"/>
              <w:rPr>
                <w:sz w:val="20"/>
              </w:rPr>
            </w:pPr>
            <w:r w:rsidRPr="006627CD">
              <w:rPr>
                <w:sz w:val="20"/>
              </w:rPr>
              <w:t>Disadvantaged children will be prioritised during the selection of and organisation of extra-curricular events.</w:t>
            </w:r>
          </w:p>
          <w:p w14:paraId="2A7D550B" w14:textId="2D278B4F" w:rsidR="00156ECB" w:rsidRPr="00A72F55" w:rsidRDefault="00156ECB" w:rsidP="000B769F">
            <w:pPr>
              <w:pStyle w:val="TableRowCentered"/>
              <w:ind w:left="0"/>
              <w:jc w:val="left"/>
              <w:rPr>
                <w:sz w:val="20"/>
                <w:highlight w:val="yellow"/>
              </w:rPr>
            </w:pPr>
            <w:r w:rsidRPr="006627CD">
              <w:rPr>
                <w:sz w:val="20"/>
              </w:rPr>
              <w:t>Extra-curricular and curriculum events will be subsidised to ensure high participation rates amongst D pupils.</w:t>
            </w:r>
          </w:p>
        </w:tc>
        <w:tc>
          <w:tcPr>
            <w:tcW w:w="2652" w:type="dxa"/>
            <w:tcBorders>
              <w:top w:val="single" w:sz="4" w:space="0" w:color="000000"/>
              <w:left w:val="single" w:sz="4" w:space="0" w:color="000000"/>
              <w:bottom w:val="single" w:sz="4" w:space="0" w:color="000000"/>
              <w:right w:val="single" w:sz="4" w:space="0" w:color="000000"/>
            </w:tcBorders>
          </w:tcPr>
          <w:p w14:paraId="091AF6CA" w14:textId="721C5DC0" w:rsidR="00156ECB" w:rsidRPr="00A72F55" w:rsidRDefault="006627CD" w:rsidP="000B769F">
            <w:pPr>
              <w:pStyle w:val="TableRowCentered"/>
              <w:ind w:left="0"/>
              <w:jc w:val="left"/>
              <w:rPr>
                <w:sz w:val="20"/>
                <w:highlight w:val="yellow"/>
              </w:rPr>
            </w:pPr>
            <w:r w:rsidRPr="006627CD">
              <w:rPr>
                <w:sz w:val="20"/>
              </w:rPr>
              <w:t xml:space="preserve"> 2</w:t>
            </w:r>
            <w:r>
              <w:rPr>
                <w:sz w:val="20"/>
              </w:rPr>
              <w:t>/3</w:t>
            </w:r>
          </w:p>
        </w:tc>
      </w:tr>
      <w:tr w:rsidR="00156ECB" w:rsidRPr="00A72F55" w14:paraId="2A7D550F" w14:textId="6A7A676A" w:rsidTr="00156ECB">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F7CF369" w:rsidR="00156ECB" w:rsidRPr="006627CD" w:rsidRDefault="00156ECB">
            <w:pPr>
              <w:pStyle w:val="TableRow"/>
              <w:rPr>
                <w:sz w:val="20"/>
                <w:szCs w:val="20"/>
              </w:rPr>
            </w:pPr>
            <w:r w:rsidRPr="006627CD">
              <w:rPr>
                <w:sz w:val="20"/>
                <w:szCs w:val="20"/>
              </w:rPr>
              <w:t>Absence &amp; persistent absentee rates are at least in line with national</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A5C62" w14:textId="77777777" w:rsidR="00156ECB" w:rsidRPr="006627CD" w:rsidRDefault="00156ECB" w:rsidP="0067462A">
            <w:pPr>
              <w:pStyle w:val="TableRowCentered"/>
              <w:jc w:val="left"/>
              <w:rPr>
                <w:sz w:val="20"/>
              </w:rPr>
            </w:pPr>
            <w:r w:rsidRPr="006627CD">
              <w:rPr>
                <w:sz w:val="20"/>
              </w:rPr>
              <w:t>‘Disadvantaged’ children’s attendance will be in line with the rest of the school.</w:t>
            </w:r>
          </w:p>
          <w:p w14:paraId="2A7D550E" w14:textId="7732E1D2" w:rsidR="00156ECB" w:rsidRPr="006627CD" w:rsidRDefault="00156ECB" w:rsidP="006627CD">
            <w:pPr>
              <w:pStyle w:val="TableRowCentered"/>
              <w:jc w:val="left"/>
              <w:rPr>
                <w:sz w:val="20"/>
              </w:rPr>
            </w:pPr>
            <w:r w:rsidRPr="006627CD">
              <w:rPr>
                <w:sz w:val="20"/>
              </w:rPr>
              <w:t xml:space="preserve">For children whose attendance falls below 90%, there is a clear plan in place to address this and </w:t>
            </w:r>
            <w:r w:rsidRPr="006627CD">
              <w:rPr>
                <w:sz w:val="20"/>
              </w:rPr>
              <w:lastRenderedPageBreak/>
              <w:t>their attendance will improve as a result of actions taken</w:t>
            </w:r>
            <w:r w:rsidR="006627CD">
              <w:rPr>
                <w:sz w:val="20"/>
              </w:rPr>
              <w:t xml:space="preserve"> created in conjunction with Hunter’s Bar Infant School to ensure longer term consistency.</w:t>
            </w:r>
          </w:p>
        </w:tc>
        <w:tc>
          <w:tcPr>
            <w:tcW w:w="2652" w:type="dxa"/>
            <w:tcBorders>
              <w:top w:val="single" w:sz="4" w:space="0" w:color="000000"/>
              <w:left w:val="single" w:sz="4" w:space="0" w:color="000000"/>
              <w:bottom w:val="single" w:sz="4" w:space="0" w:color="000000"/>
              <w:right w:val="single" w:sz="4" w:space="0" w:color="000000"/>
            </w:tcBorders>
          </w:tcPr>
          <w:p w14:paraId="74DE4B03" w14:textId="5076FB7D" w:rsidR="00156ECB" w:rsidRPr="006627CD" w:rsidRDefault="006627CD" w:rsidP="0067462A">
            <w:pPr>
              <w:pStyle w:val="TableRowCentered"/>
              <w:jc w:val="left"/>
              <w:rPr>
                <w:sz w:val="20"/>
              </w:rPr>
            </w:pPr>
            <w:r w:rsidRPr="006627CD">
              <w:rPr>
                <w:sz w:val="20"/>
              </w:rPr>
              <w:lastRenderedPageBreak/>
              <w:t>2</w:t>
            </w:r>
          </w:p>
        </w:tc>
      </w:tr>
    </w:tbl>
    <w:p w14:paraId="2A7D5512" w14:textId="7B489199" w:rsidR="00E66558" w:rsidRPr="006627CD" w:rsidRDefault="009D71E8">
      <w:pPr>
        <w:pStyle w:val="Heading2"/>
        <w:rPr>
          <w:sz w:val="20"/>
          <w:szCs w:val="20"/>
        </w:rPr>
      </w:pPr>
      <w:r w:rsidRPr="006627CD">
        <w:rPr>
          <w:sz w:val="20"/>
          <w:szCs w:val="20"/>
        </w:rPr>
        <w:t>Activity in this academic year</w:t>
      </w:r>
    </w:p>
    <w:p w14:paraId="2A7D5513" w14:textId="77777777" w:rsidR="00E66558" w:rsidRPr="006627CD" w:rsidRDefault="009D71E8">
      <w:pPr>
        <w:spacing w:after="480"/>
        <w:rPr>
          <w:sz w:val="20"/>
          <w:szCs w:val="20"/>
        </w:rPr>
      </w:pPr>
      <w:r w:rsidRPr="006627CD">
        <w:rPr>
          <w:sz w:val="20"/>
          <w:szCs w:val="20"/>
        </w:rPr>
        <w:t xml:space="preserve">This details how we intend to spend our pupil premium (and recovery premium funding) </w:t>
      </w:r>
      <w:r w:rsidRPr="006627CD">
        <w:rPr>
          <w:b/>
          <w:bCs/>
          <w:sz w:val="20"/>
          <w:szCs w:val="20"/>
        </w:rPr>
        <w:t>this academic year</w:t>
      </w:r>
      <w:r w:rsidRPr="006627CD">
        <w:rPr>
          <w:sz w:val="20"/>
          <w:szCs w:val="20"/>
        </w:rPr>
        <w:t xml:space="preserve"> to address the challenges listed above.</w:t>
      </w:r>
    </w:p>
    <w:p w14:paraId="2A7D5514" w14:textId="77777777" w:rsidR="00E66558" w:rsidRPr="00CC006A" w:rsidRDefault="009D71E8">
      <w:pPr>
        <w:pStyle w:val="Heading3"/>
        <w:rPr>
          <w:sz w:val="20"/>
          <w:szCs w:val="20"/>
        </w:rPr>
      </w:pPr>
      <w:r w:rsidRPr="00CC006A">
        <w:rPr>
          <w:sz w:val="20"/>
          <w:szCs w:val="20"/>
        </w:rPr>
        <w:t>Teaching (for example, CPD, recruitment and retention)</w:t>
      </w:r>
    </w:p>
    <w:p w14:paraId="2A7D5515" w14:textId="68DDBB3F" w:rsidR="00E66558" w:rsidRPr="003F776C" w:rsidRDefault="009D71E8">
      <w:pPr>
        <w:rPr>
          <w:sz w:val="20"/>
          <w:szCs w:val="20"/>
        </w:rPr>
      </w:pPr>
      <w:r w:rsidRPr="003F776C">
        <w:rPr>
          <w:sz w:val="20"/>
          <w:szCs w:val="20"/>
        </w:rPr>
        <w:t>Budgeted cost: £</w:t>
      </w:r>
      <w:r w:rsidR="004A56C6" w:rsidRPr="003F776C">
        <w:rPr>
          <w:i/>
          <w:iCs/>
          <w:sz w:val="20"/>
          <w:szCs w:val="20"/>
        </w:rPr>
        <w:t>2</w:t>
      </w:r>
      <w:r w:rsidR="007E6C04">
        <w:rPr>
          <w:i/>
          <w:iCs/>
          <w:sz w:val="20"/>
          <w:szCs w:val="20"/>
        </w:rPr>
        <w:t>7</w:t>
      </w:r>
      <w:r w:rsidR="004A56C6" w:rsidRPr="003F776C">
        <w:rPr>
          <w:i/>
          <w:iCs/>
          <w:sz w:val="20"/>
          <w:szCs w:val="20"/>
        </w:rPr>
        <w:t>,000</w:t>
      </w:r>
    </w:p>
    <w:tbl>
      <w:tblPr>
        <w:tblW w:w="5000" w:type="pct"/>
        <w:tblCellMar>
          <w:left w:w="10" w:type="dxa"/>
          <w:right w:w="10" w:type="dxa"/>
        </w:tblCellMar>
        <w:tblLook w:val="04A0" w:firstRow="1" w:lastRow="0" w:firstColumn="1" w:lastColumn="0" w:noHBand="0" w:noVBand="1"/>
      </w:tblPr>
      <w:tblGrid>
        <w:gridCol w:w="3256"/>
        <w:gridCol w:w="3686"/>
        <w:gridCol w:w="2544"/>
      </w:tblGrid>
      <w:tr w:rsidR="00E66558" w:rsidRPr="00A72F55" w14:paraId="2A7D5519" w14:textId="77777777" w:rsidTr="003F776C">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6" w14:textId="77777777" w:rsidR="00E66558" w:rsidRPr="003F776C" w:rsidRDefault="009D71E8">
            <w:pPr>
              <w:pStyle w:val="TableHeader"/>
              <w:jc w:val="left"/>
              <w:rPr>
                <w:sz w:val="20"/>
                <w:szCs w:val="20"/>
              </w:rPr>
            </w:pPr>
            <w:r w:rsidRPr="003F776C">
              <w:rPr>
                <w:sz w:val="20"/>
                <w:szCs w:val="20"/>
              </w:rP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7" w14:textId="77777777" w:rsidR="00E66558" w:rsidRPr="003F776C" w:rsidRDefault="009D71E8">
            <w:pPr>
              <w:pStyle w:val="TableHeader"/>
              <w:jc w:val="left"/>
              <w:rPr>
                <w:sz w:val="20"/>
                <w:szCs w:val="20"/>
              </w:rPr>
            </w:pPr>
            <w:r w:rsidRPr="003F776C">
              <w:rPr>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8" w14:textId="77777777" w:rsidR="00E66558" w:rsidRPr="003F776C" w:rsidRDefault="009D71E8">
            <w:pPr>
              <w:pStyle w:val="TableHeader"/>
              <w:jc w:val="left"/>
              <w:rPr>
                <w:sz w:val="20"/>
                <w:szCs w:val="20"/>
              </w:rPr>
            </w:pPr>
            <w:r w:rsidRPr="003F776C">
              <w:rPr>
                <w:sz w:val="20"/>
                <w:szCs w:val="20"/>
              </w:rPr>
              <w:t>Challenge number(s) addressed</w:t>
            </w:r>
          </w:p>
        </w:tc>
      </w:tr>
      <w:tr w:rsidR="00E66558" w:rsidRPr="00A72F55" w14:paraId="2A7D551D" w14:textId="77777777" w:rsidTr="00211938">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C19A3" w14:textId="4C528C45" w:rsidR="00211938" w:rsidRPr="003F776C" w:rsidRDefault="007D0511" w:rsidP="007D0511">
            <w:pPr>
              <w:rPr>
                <w:sz w:val="20"/>
                <w:szCs w:val="20"/>
              </w:rPr>
            </w:pPr>
            <w:r w:rsidRPr="003F776C">
              <w:rPr>
                <w:sz w:val="20"/>
                <w:szCs w:val="20"/>
              </w:rPr>
              <w:t xml:space="preserve">CPD: </w:t>
            </w:r>
            <w:r w:rsidR="00D959D5" w:rsidRPr="003F776C">
              <w:rPr>
                <w:sz w:val="20"/>
                <w:szCs w:val="20"/>
              </w:rPr>
              <w:t>This will be delivered through weekly professional development meetings and through Insets and twilights.</w:t>
            </w:r>
          </w:p>
          <w:p w14:paraId="46F77802" w14:textId="53C070CF" w:rsidR="007D0511" w:rsidRPr="003F776C" w:rsidRDefault="007D0511" w:rsidP="007D0511">
            <w:pPr>
              <w:rPr>
                <w:rFonts w:cs="Arial"/>
                <w:color w:val="auto"/>
                <w:sz w:val="20"/>
                <w:szCs w:val="20"/>
              </w:rPr>
            </w:pPr>
            <w:r w:rsidRPr="003F776C">
              <w:rPr>
                <w:rFonts w:cs="Arial"/>
                <w:b/>
                <w:bCs/>
                <w:color w:val="000000"/>
                <w:sz w:val="20"/>
                <w:szCs w:val="20"/>
              </w:rPr>
              <w:t xml:space="preserve">Professional development aims for </w:t>
            </w:r>
            <w:r w:rsidR="00211938" w:rsidRPr="003F776C">
              <w:rPr>
                <w:rFonts w:cs="Arial"/>
                <w:b/>
                <w:bCs/>
                <w:color w:val="000000"/>
                <w:sz w:val="20"/>
                <w:szCs w:val="20"/>
              </w:rPr>
              <w:t>202</w:t>
            </w:r>
            <w:r w:rsidR="00FB0DEA" w:rsidRPr="003F776C">
              <w:rPr>
                <w:rFonts w:cs="Arial"/>
                <w:b/>
                <w:bCs/>
                <w:color w:val="000000"/>
                <w:sz w:val="20"/>
                <w:szCs w:val="20"/>
              </w:rPr>
              <w:t>3</w:t>
            </w:r>
            <w:r w:rsidR="00211938" w:rsidRPr="003F776C">
              <w:rPr>
                <w:rFonts w:cs="Arial"/>
                <w:b/>
                <w:bCs/>
                <w:color w:val="000000"/>
                <w:sz w:val="20"/>
                <w:szCs w:val="20"/>
              </w:rPr>
              <w:t>-2</w:t>
            </w:r>
            <w:r w:rsidR="00FB0DEA" w:rsidRPr="003F776C">
              <w:rPr>
                <w:rFonts w:cs="Arial"/>
                <w:b/>
                <w:bCs/>
                <w:color w:val="000000"/>
                <w:sz w:val="20"/>
                <w:szCs w:val="20"/>
              </w:rPr>
              <w:t>4</w:t>
            </w:r>
          </w:p>
          <w:p w14:paraId="2A7D551A" w14:textId="79ADCD91" w:rsidR="00E66558" w:rsidRPr="003F776C" w:rsidRDefault="007D0511" w:rsidP="007D0511">
            <w:pPr>
              <w:pStyle w:val="TableRow"/>
              <w:rPr>
                <w:sz w:val="20"/>
                <w:szCs w:val="20"/>
              </w:rPr>
            </w:pPr>
            <w:r w:rsidRPr="003F776C">
              <w:rPr>
                <w:rFonts w:cs="Arial"/>
                <w:color w:val="000000"/>
                <w:sz w:val="20"/>
                <w:szCs w:val="20"/>
              </w:rPr>
              <w:t xml:space="preserve">Our areas of research-informed professional learning, driving the SDIP priorities are: well-being, supporting vulnerable learners, embedding formative assessment &amp; peer coaching, and applying the principles of cognitive science into our curriculum.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3530A" w14:textId="77777777" w:rsidR="00211938" w:rsidRPr="003F776C" w:rsidRDefault="00211938" w:rsidP="00211938">
            <w:pPr>
              <w:pStyle w:val="7Tablecopybulleted"/>
              <w:rPr>
                <w:szCs w:val="20"/>
              </w:rPr>
            </w:pPr>
            <w:r w:rsidRPr="003F776C">
              <w:rPr>
                <w:szCs w:val="20"/>
              </w:rPr>
              <w:t>The CPD programme is based on a strong evidence base taken from a variety of trusted sources which include:</w:t>
            </w:r>
          </w:p>
          <w:p w14:paraId="1F059514" w14:textId="77777777" w:rsidR="00211938" w:rsidRPr="003F776C" w:rsidRDefault="00211938" w:rsidP="00211938">
            <w:pPr>
              <w:pStyle w:val="7Tablecopybulleted"/>
              <w:rPr>
                <w:szCs w:val="20"/>
              </w:rPr>
            </w:pPr>
            <w:r w:rsidRPr="003F776C">
              <w:rPr>
                <w:szCs w:val="20"/>
              </w:rPr>
              <w:t xml:space="preserve">Dylan </w:t>
            </w:r>
            <w:proofErr w:type="spellStart"/>
            <w:r w:rsidRPr="003F776C">
              <w:rPr>
                <w:szCs w:val="20"/>
              </w:rPr>
              <w:t>Wiliam</w:t>
            </w:r>
            <w:proofErr w:type="spellEnd"/>
          </w:p>
          <w:p w14:paraId="3434F037" w14:textId="77777777" w:rsidR="00211938" w:rsidRPr="003F776C" w:rsidRDefault="00211938" w:rsidP="00211938">
            <w:pPr>
              <w:pStyle w:val="7Tablecopybulleted"/>
              <w:rPr>
                <w:szCs w:val="20"/>
              </w:rPr>
            </w:pPr>
            <w:r w:rsidRPr="003F776C">
              <w:rPr>
                <w:szCs w:val="20"/>
              </w:rPr>
              <w:t>Paul Black</w:t>
            </w:r>
          </w:p>
          <w:p w14:paraId="6DF0408D" w14:textId="77777777" w:rsidR="00211938" w:rsidRPr="003F776C" w:rsidRDefault="00211938" w:rsidP="00211938">
            <w:pPr>
              <w:pStyle w:val="7Tablecopybulleted"/>
              <w:rPr>
                <w:szCs w:val="20"/>
              </w:rPr>
            </w:pPr>
            <w:r w:rsidRPr="003F776C">
              <w:rPr>
                <w:szCs w:val="20"/>
              </w:rPr>
              <w:t>Robert and Elizabeth Bjork</w:t>
            </w:r>
          </w:p>
          <w:p w14:paraId="34E94182" w14:textId="77777777" w:rsidR="00211938" w:rsidRPr="003F776C" w:rsidRDefault="00211938" w:rsidP="00211938">
            <w:pPr>
              <w:pStyle w:val="7Tablecopybulleted"/>
              <w:rPr>
                <w:szCs w:val="20"/>
              </w:rPr>
            </w:pPr>
            <w:r w:rsidRPr="003F776C">
              <w:rPr>
                <w:szCs w:val="20"/>
              </w:rPr>
              <w:t>Tom Bennett</w:t>
            </w:r>
          </w:p>
          <w:p w14:paraId="7382DB6F" w14:textId="77777777" w:rsidR="00211938" w:rsidRPr="003F776C" w:rsidRDefault="00211938" w:rsidP="00211938">
            <w:pPr>
              <w:pStyle w:val="7Tablecopybulleted"/>
              <w:rPr>
                <w:szCs w:val="20"/>
              </w:rPr>
            </w:pPr>
            <w:r w:rsidRPr="003F776C">
              <w:rPr>
                <w:szCs w:val="20"/>
              </w:rPr>
              <w:t>Clare Sealy</w:t>
            </w:r>
          </w:p>
          <w:p w14:paraId="7E292EE7" w14:textId="77777777" w:rsidR="00211938" w:rsidRPr="003F776C" w:rsidRDefault="00211938" w:rsidP="00211938">
            <w:pPr>
              <w:pStyle w:val="7Tablecopybulleted"/>
              <w:rPr>
                <w:szCs w:val="20"/>
              </w:rPr>
            </w:pPr>
            <w:r w:rsidRPr="003F776C">
              <w:rPr>
                <w:szCs w:val="20"/>
              </w:rPr>
              <w:t>Peps McCrea</w:t>
            </w:r>
          </w:p>
          <w:p w14:paraId="0CF93E3F" w14:textId="77777777" w:rsidR="00211938" w:rsidRPr="003F776C" w:rsidRDefault="00211938" w:rsidP="00211938">
            <w:pPr>
              <w:pStyle w:val="7Tablecopybulleted"/>
              <w:rPr>
                <w:szCs w:val="20"/>
              </w:rPr>
            </w:pPr>
            <w:r w:rsidRPr="003F776C">
              <w:rPr>
                <w:szCs w:val="20"/>
              </w:rPr>
              <w:t>Tom Sherrington</w:t>
            </w:r>
          </w:p>
          <w:p w14:paraId="50D5A0C5" w14:textId="77777777" w:rsidR="00211938" w:rsidRPr="003F776C" w:rsidRDefault="00211938" w:rsidP="00211938">
            <w:pPr>
              <w:pStyle w:val="7Tablecopybulleted"/>
              <w:rPr>
                <w:szCs w:val="20"/>
              </w:rPr>
            </w:pPr>
            <w:r w:rsidRPr="003F776C">
              <w:rPr>
                <w:szCs w:val="20"/>
              </w:rPr>
              <w:t>Ian Leslie</w:t>
            </w:r>
          </w:p>
          <w:p w14:paraId="2E859403" w14:textId="77777777" w:rsidR="00211938" w:rsidRPr="003F776C" w:rsidRDefault="00211938" w:rsidP="00211938">
            <w:pPr>
              <w:pStyle w:val="7Tablecopybulleted"/>
              <w:rPr>
                <w:szCs w:val="20"/>
              </w:rPr>
            </w:pPr>
            <w:r w:rsidRPr="003F776C">
              <w:rPr>
                <w:szCs w:val="20"/>
              </w:rPr>
              <w:t>Oliver Lovell</w:t>
            </w:r>
          </w:p>
          <w:p w14:paraId="558C06E3" w14:textId="77777777" w:rsidR="00211938" w:rsidRPr="003F776C" w:rsidRDefault="00211938" w:rsidP="00211938">
            <w:pPr>
              <w:pStyle w:val="7Tablecopybulleted"/>
              <w:rPr>
                <w:szCs w:val="20"/>
              </w:rPr>
            </w:pPr>
            <w:r w:rsidRPr="003F776C">
              <w:rPr>
                <w:szCs w:val="20"/>
              </w:rPr>
              <w:t>Carl Hendrick</w:t>
            </w:r>
          </w:p>
          <w:p w14:paraId="77F11D76" w14:textId="77777777" w:rsidR="00211938" w:rsidRPr="003F776C" w:rsidRDefault="00211938" w:rsidP="00211938">
            <w:pPr>
              <w:pStyle w:val="7Tablecopybulleted"/>
              <w:rPr>
                <w:szCs w:val="20"/>
              </w:rPr>
            </w:pPr>
            <w:r w:rsidRPr="003F776C">
              <w:rPr>
                <w:szCs w:val="20"/>
              </w:rPr>
              <w:t>EEF Toolkit</w:t>
            </w:r>
          </w:p>
          <w:p w14:paraId="78042064" w14:textId="77777777" w:rsidR="00211938" w:rsidRPr="003F776C" w:rsidRDefault="00211938" w:rsidP="00211938">
            <w:pPr>
              <w:pStyle w:val="7Tablecopybulleted"/>
              <w:rPr>
                <w:szCs w:val="20"/>
              </w:rPr>
            </w:pPr>
            <w:proofErr w:type="spellStart"/>
            <w:r w:rsidRPr="003F776C">
              <w:rPr>
                <w:szCs w:val="20"/>
              </w:rPr>
              <w:t>Oracy</w:t>
            </w:r>
            <w:proofErr w:type="spellEnd"/>
            <w:r w:rsidRPr="003F776C">
              <w:rPr>
                <w:szCs w:val="20"/>
              </w:rPr>
              <w:t xml:space="preserve"> 21</w:t>
            </w:r>
          </w:p>
          <w:p w14:paraId="515B8527" w14:textId="77777777" w:rsidR="00211938" w:rsidRPr="003F776C" w:rsidRDefault="00211938" w:rsidP="00211938">
            <w:pPr>
              <w:pStyle w:val="7Tablecopybulleted"/>
              <w:rPr>
                <w:szCs w:val="20"/>
              </w:rPr>
            </w:pPr>
            <w:r w:rsidRPr="003F776C">
              <w:rPr>
                <w:szCs w:val="20"/>
              </w:rPr>
              <w:t>Healthy Minds</w:t>
            </w:r>
          </w:p>
          <w:p w14:paraId="3F100781" w14:textId="1DA799F2" w:rsidR="00211938" w:rsidRPr="003F776C" w:rsidRDefault="00211938" w:rsidP="00211938">
            <w:pPr>
              <w:pStyle w:val="7Tablecopybulleted"/>
              <w:rPr>
                <w:szCs w:val="20"/>
              </w:rPr>
            </w:pPr>
            <w:r w:rsidRPr="003F776C">
              <w:rPr>
                <w:szCs w:val="20"/>
              </w:rPr>
              <w:t>Emma Freud Centre</w:t>
            </w:r>
          </w:p>
          <w:p w14:paraId="41C987E5" w14:textId="3AB48AC4" w:rsidR="00D959D5" w:rsidRPr="003F776C" w:rsidRDefault="00D959D5" w:rsidP="00211938">
            <w:pPr>
              <w:pStyle w:val="7Tablecopybulleted"/>
              <w:rPr>
                <w:szCs w:val="20"/>
              </w:rPr>
            </w:pPr>
            <w:r w:rsidRPr="003F776C">
              <w:rPr>
                <w:szCs w:val="20"/>
              </w:rPr>
              <w:t>Marc Rowland</w:t>
            </w:r>
          </w:p>
          <w:p w14:paraId="3B3C5127" w14:textId="4FE5EA8F" w:rsidR="003F776C" w:rsidRPr="003F776C" w:rsidRDefault="003F776C" w:rsidP="00211938">
            <w:pPr>
              <w:pStyle w:val="7Tablecopybulleted"/>
              <w:rPr>
                <w:szCs w:val="20"/>
              </w:rPr>
            </w:pPr>
            <w:r w:rsidRPr="003F776C">
              <w:rPr>
                <w:szCs w:val="20"/>
              </w:rPr>
              <w:t>British Dyslexia Association</w:t>
            </w:r>
          </w:p>
          <w:p w14:paraId="426445BE" w14:textId="04E09001" w:rsidR="003F776C" w:rsidRPr="003F776C" w:rsidRDefault="003F776C" w:rsidP="00211938">
            <w:pPr>
              <w:pStyle w:val="7Tablecopybulleted"/>
              <w:rPr>
                <w:szCs w:val="20"/>
              </w:rPr>
            </w:pPr>
            <w:r w:rsidRPr="003F776C">
              <w:rPr>
                <w:szCs w:val="20"/>
              </w:rPr>
              <w:t>National Autistic Society</w:t>
            </w:r>
          </w:p>
          <w:p w14:paraId="6F3B17D4" w14:textId="77777777" w:rsidR="00211938" w:rsidRPr="003F776C" w:rsidRDefault="00211938" w:rsidP="00211938">
            <w:pPr>
              <w:pStyle w:val="7Tablecopybulleted"/>
              <w:numPr>
                <w:ilvl w:val="0"/>
                <w:numId w:val="0"/>
              </w:numPr>
              <w:ind w:left="170"/>
              <w:rPr>
                <w:szCs w:val="20"/>
              </w:rPr>
            </w:pPr>
          </w:p>
          <w:p w14:paraId="6C5FA6CE" w14:textId="1CAE8BEF" w:rsidR="00211938" w:rsidRPr="003F776C" w:rsidRDefault="00211938" w:rsidP="00211938">
            <w:pPr>
              <w:pStyle w:val="7Tablecopybulleted"/>
              <w:numPr>
                <w:ilvl w:val="0"/>
                <w:numId w:val="0"/>
              </w:numPr>
              <w:ind w:left="170"/>
              <w:rPr>
                <w:szCs w:val="20"/>
              </w:rPr>
            </w:pPr>
            <w:r w:rsidRPr="003F776C">
              <w:rPr>
                <w:szCs w:val="20"/>
              </w:rPr>
              <w:t>Actions aim to address the most common barriers to learning.</w:t>
            </w:r>
          </w:p>
          <w:p w14:paraId="2A7D551B" w14:textId="77777777" w:rsidR="00E66558" w:rsidRPr="003F776C" w:rsidRDefault="00E66558" w:rsidP="00211938">
            <w:pPr>
              <w:pStyle w:val="7Tablecopybulleted"/>
              <w:numPr>
                <w:ilvl w:val="0"/>
                <w:numId w:val="0"/>
              </w:numPr>
              <w:ind w:left="340" w:hanging="170"/>
              <w:rPr>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3DF5FDA" w:rsidR="00E66558" w:rsidRPr="003F776C" w:rsidRDefault="00211938">
            <w:pPr>
              <w:pStyle w:val="TableRowCentered"/>
              <w:jc w:val="left"/>
              <w:rPr>
                <w:sz w:val="20"/>
              </w:rPr>
            </w:pPr>
            <w:r w:rsidRPr="003F776C">
              <w:rPr>
                <w:sz w:val="20"/>
              </w:rPr>
              <w:t>1</w:t>
            </w:r>
            <w:r w:rsidR="00D959D5" w:rsidRPr="003F776C">
              <w:rPr>
                <w:sz w:val="20"/>
              </w:rPr>
              <w:t xml:space="preserve"> and</w:t>
            </w:r>
            <w:r w:rsidRPr="003F776C">
              <w:rPr>
                <w:sz w:val="20"/>
              </w:rPr>
              <w:t xml:space="preserve"> </w:t>
            </w:r>
            <w:r w:rsidR="003F776C">
              <w:rPr>
                <w:sz w:val="20"/>
              </w:rPr>
              <w:t>3</w:t>
            </w:r>
          </w:p>
        </w:tc>
      </w:tr>
      <w:tr w:rsidR="00E66558" w:rsidRPr="00A72F55" w14:paraId="2A7D5521" w14:textId="77777777" w:rsidTr="00211938">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7221" w14:textId="77777777" w:rsidR="00E66558" w:rsidRPr="003F776C" w:rsidRDefault="00D959D5">
            <w:pPr>
              <w:pStyle w:val="TableRow"/>
              <w:rPr>
                <w:sz w:val="20"/>
                <w:szCs w:val="20"/>
              </w:rPr>
            </w:pPr>
            <w:r w:rsidRPr="003F776C">
              <w:rPr>
                <w:sz w:val="20"/>
                <w:szCs w:val="20"/>
              </w:rPr>
              <w:t>Professional Inquiry Programme (PIP)</w:t>
            </w:r>
          </w:p>
          <w:p w14:paraId="6DFE4892" w14:textId="15DC0770" w:rsidR="00D959D5" w:rsidRPr="003F776C" w:rsidRDefault="00D959D5">
            <w:pPr>
              <w:pStyle w:val="TableRow"/>
              <w:rPr>
                <w:sz w:val="20"/>
                <w:szCs w:val="20"/>
              </w:rPr>
            </w:pPr>
          </w:p>
          <w:p w14:paraId="2A7D551E" w14:textId="0182235A" w:rsidR="00D959D5" w:rsidRPr="003F776C" w:rsidRDefault="00D959D5" w:rsidP="004A56C6">
            <w:pPr>
              <w:pStyle w:val="TableRow"/>
              <w:ind w:left="0"/>
              <w:rPr>
                <w:sz w:val="20"/>
                <w:szCs w:val="20"/>
              </w:rPr>
            </w:pPr>
            <w:r w:rsidRPr="003F776C">
              <w:rPr>
                <w:sz w:val="20"/>
                <w:szCs w:val="20"/>
              </w:rPr>
              <w:t xml:space="preserve">As part of the school’s appraisal process, teachers who are working at, or beyond their careers stage teacher standards, will engage in the PIP. </w:t>
            </w:r>
            <w:r w:rsidR="004A56C6" w:rsidRPr="003F776C">
              <w:rPr>
                <w:sz w:val="20"/>
                <w:szCs w:val="20"/>
              </w:rPr>
              <w:t xml:space="preserve">The focus of the programme is based on the key research cited above. </w:t>
            </w:r>
            <w:r w:rsidR="004A56C6" w:rsidRPr="003F776C">
              <w:rPr>
                <w:sz w:val="20"/>
                <w:szCs w:val="20"/>
              </w:rPr>
              <w:lastRenderedPageBreak/>
              <w:t>This will be managed and facilitated by the Lead Practitioner who will use 1 day of their week to support through observation, evidence collection and instructional coaching.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E1FD945" w:rsidR="00E66558" w:rsidRPr="003F776C" w:rsidRDefault="004A56C6">
            <w:pPr>
              <w:pStyle w:val="TableRowCentered"/>
              <w:jc w:val="left"/>
              <w:rPr>
                <w:sz w:val="20"/>
              </w:rPr>
            </w:pPr>
            <w:r w:rsidRPr="003F776C">
              <w:rPr>
                <w:sz w:val="20"/>
              </w:rPr>
              <w:lastRenderedPageBreak/>
              <w:t>See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E33B176" w:rsidR="00E66558" w:rsidRPr="003F776C" w:rsidRDefault="004A56C6">
            <w:pPr>
              <w:pStyle w:val="TableRowCentered"/>
              <w:jc w:val="left"/>
              <w:rPr>
                <w:sz w:val="20"/>
              </w:rPr>
            </w:pPr>
            <w:r w:rsidRPr="003F776C">
              <w:rPr>
                <w:sz w:val="20"/>
              </w:rPr>
              <w:t xml:space="preserve">1 and </w:t>
            </w:r>
            <w:r w:rsidR="003F776C">
              <w:rPr>
                <w:sz w:val="20"/>
              </w:rPr>
              <w:t>3</w:t>
            </w:r>
          </w:p>
        </w:tc>
      </w:tr>
    </w:tbl>
    <w:p w14:paraId="2A7D5523" w14:textId="1DC08891" w:rsidR="00E66558" w:rsidRPr="003F776C" w:rsidRDefault="009D71E8">
      <w:pPr>
        <w:rPr>
          <w:b/>
          <w:bCs/>
          <w:color w:val="104F75"/>
          <w:sz w:val="20"/>
          <w:szCs w:val="20"/>
        </w:rPr>
      </w:pPr>
      <w:r w:rsidRPr="003F776C">
        <w:rPr>
          <w:b/>
          <w:bCs/>
          <w:color w:val="104F75"/>
          <w:sz w:val="20"/>
          <w:szCs w:val="20"/>
        </w:rPr>
        <w:t xml:space="preserve">Targeted academic support (for example, </w:t>
      </w:r>
      <w:r w:rsidR="00D33FE5" w:rsidRPr="003F776C">
        <w:rPr>
          <w:b/>
          <w:bCs/>
          <w:color w:val="104F75"/>
          <w:sz w:val="20"/>
          <w:szCs w:val="20"/>
        </w:rPr>
        <w:t xml:space="preserve">tutoring, one-to-one support </w:t>
      </w:r>
      <w:r w:rsidRPr="003F776C">
        <w:rPr>
          <w:b/>
          <w:bCs/>
          <w:color w:val="104F75"/>
          <w:sz w:val="20"/>
          <w:szCs w:val="20"/>
        </w:rPr>
        <w:t xml:space="preserve">structured interventions) </w:t>
      </w:r>
    </w:p>
    <w:p w14:paraId="2A7D5524" w14:textId="5C0E29D8" w:rsidR="00E66558" w:rsidRPr="007E6C04" w:rsidRDefault="009D71E8">
      <w:pPr>
        <w:rPr>
          <w:sz w:val="20"/>
          <w:szCs w:val="20"/>
        </w:rPr>
      </w:pPr>
      <w:r w:rsidRPr="007E6C04">
        <w:rPr>
          <w:sz w:val="20"/>
          <w:szCs w:val="20"/>
        </w:rPr>
        <w:t xml:space="preserve">Budgeted cost: £ </w:t>
      </w:r>
      <w:r w:rsidR="007E6C04" w:rsidRPr="007E6C04">
        <w:rPr>
          <w:sz w:val="20"/>
          <w:szCs w:val="20"/>
        </w:rPr>
        <w:t>30</w:t>
      </w:r>
      <w:r w:rsidR="005870B3" w:rsidRPr="007E6C04">
        <w:rPr>
          <w:sz w:val="20"/>
          <w:szCs w:val="20"/>
        </w:rPr>
        <w:t>,000</w:t>
      </w:r>
      <w:r w:rsidR="001A018B" w:rsidRPr="007E6C04">
        <w:rPr>
          <w:sz w:val="20"/>
          <w:szCs w:val="20"/>
        </w:rPr>
        <w:t xml:space="preserve"> – Tutoring - £8910</w:t>
      </w:r>
    </w:p>
    <w:tbl>
      <w:tblPr>
        <w:tblW w:w="5000" w:type="pct"/>
        <w:tblCellMar>
          <w:left w:w="10" w:type="dxa"/>
          <w:right w:w="10" w:type="dxa"/>
        </w:tblCellMar>
        <w:tblLook w:val="04A0" w:firstRow="1" w:lastRow="0" w:firstColumn="1" w:lastColumn="0" w:noHBand="0" w:noVBand="1"/>
      </w:tblPr>
      <w:tblGrid>
        <w:gridCol w:w="2116"/>
        <w:gridCol w:w="5367"/>
        <w:gridCol w:w="2003"/>
      </w:tblGrid>
      <w:tr w:rsidR="00E66558" w:rsidRPr="00A72F55" w14:paraId="2A7D5528" w14:textId="77777777" w:rsidTr="00406348">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5" w14:textId="77777777" w:rsidR="00E66558" w:rsidRPr="003F776C" w:rsidRDefault="009D71E8">
            <w:pPr>
              <w:pStyle w:val="TableHeader"/>
              <w:jc w:val="left"/>
              <w:rPr>
                <w:sz w:val="20"/>
                <w:szCs w:val="20"/>
              </w:rPr>
            </w:pPr>
            <w:r w:rsidRPr="003F776C">
              <w:rPr>
                <w:sz w:val="20"/>
                <w:szCs w:val="20"/>
              </w:rPr>
              <w:t>Activity</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6" w14:textId="77777777" w:rsidR="00E66558" w:rsidRPr="003F776C" w:rsidRDefault="009D71E8">
            <w:pPr>
              <w:pStyle w:val="TableHeader"/>
              <w:jc w:val="left"/>
              <w:rPr>
                <w:sz w:val="20"/>
                <w:szCs w:val="20"/>
              </w:rPr>
            </w:pPr>
            <w:r w:rsidRPr="003F776C">
              <w:rPr>
                <w:sz w:val="20"/>
                <w:szCs w:val="20"/>
              </w:rPr>
              <w:t>Evidence that supports this approach</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7" w14:textId="77777777" w:rsidR="00E66558" w:rsidRPr="003F776C" w:rsidRDefault="009D71E8">
            <w:pPr>
              <w:pStyle w:val="TableHeader"/>
              <w:jc w:val="left"/>
              <w:rPr>
                <w:sz w:val="20"/>
                <w:szCs w:val="20"/>
              </w:rPr>
            </w:pPr>
            <w:r w:rsidRPr="003F776C">
              <w:rPr>
                <w:sz w:val="20"/>
                <w:szCs w:val="20"/>
              </w:rPr>
              <w:t>Challenge number(s) addressed</w:t>
            </w:r>
          </w:p>
        </w:tc>
      </w:tr>
      <w:tr w:rsidR="00E66558" w:rsidRPr="00A72F55" w14:paraId="2A7D552C" w14:textId="77777777" w:rsidTr="00406348">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8937A" w14:textId="358B3DED" w:rsidR="00211938" w:rsidRPr="007E6C04" w:rsidRDefault="00211938" w:rsidP="00211938">
            <w:pPr>
              <w:pStyle w:val="7Tablebodycopy"/>
              <w:rPr>
                <w:szCs w:val="20"/>
                <w:u w:val="single"/>
              </w:rPr>
            </w:pPr>
            <w:proofErr w:type="spellStart"/>
            <w:r w:rsidRPr="007E6C04">
              <w:rPr>
                <w:szCs w:val="20"/>
                <w:u w:val="single"/>
              </w:rPr>
              <w:t>Maths</w:t>
            </w:r>
            <w:proofErr w:type="spellEnd"/>
            <w:r w:rsidR="004A56C6" w:rsidRPr="007E6C04">
              <w:rPr>
                <w:szCs w:val="20"/>
                <w:u w:val="single"/>
              </w:rPr>
              <w:t xml:space="preserve"> tutoring</w:t>
            </w:r>
          </w:p>
          <w:p w14:paraId="2A7D5529" w14:textId="266820FB" w:rsidR="00E66558" w:rsidRPr="007E6C04" w:rsidRDefault="00211938" w:rsidP="007E6C04">
            <w:pPr>
              <w:pStyle w:val="7Tablebodycopy"/>
              <w:rPr>
                <w:szCs w:val="20"/>
              </w:rPr>
            </w:pPr>
            <w:r w:rsidRPr="007E6C04">
              <w:rPr>
                <w:szCs w:val="20"/>
              </w:rPr>
              <w:t>For pupils in Y</w:t>
            </w:r>
            <w:r w:rsidR="00406348" w:rsidRPr="007E6C04">
              <w:rPr>
                <w:szCs w:val="20"/>
              </w:rPr>
              <w:t>6</w:t>
            </w:r>
            <w:r w:rsidRPr="007E6C04">
              <w:rPr>
                <w:szCs w:val="20"/>
              </w:rPr>
              <w:t>, 1:1 tutoring through an external partner.</w:t>
            </w:r>
            <w:r w:rsidR="005870B3" w:rsidRPr="007E6C04">
              <w:rPr>
                <w:szCs w:val="20"/>
              </w:rPr>
              <w:t xml:space="preserve"> 75% is paid by the government with the additional 25% coming out of pupil premium funding.</w:t>
            </w:r>
            <w:r w:rsidRPr="007E6C04">
              <w:rPr>
                <w:szCs w:val="20"/>
              </w:rPr>
              <w:t xml:space="preserve"> </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2E6F4" w14:textId="77777777" w:rsidR="00E66558" w:rsidRPr="007E6C04" w:rsidRDefault="00211938" w:rsidP="00211938">
            <w:pPr>
              <w:pStyle w:val="7Tablebodycopy"/>
              <w:rPr>
                <w:szCs w:val="20"/>
              </w:rPr>
            </w:pPr>
            <w:r w:rsidRPr="007E6C04">
              <w:rPr>
                <w:szCs w:val="20"/>
              </w:rPr>
              <w:t>Government policy suggests that 1:1 tutoring is one of the most effective tools to close the gap caused by the COVID pandemic.</w:t>
            </w:r>
          </w:p>
          <w:p w14:paraId="33205321" w14:textId="77777777" w:rsidR="00211938" w:rsidRPr="007E6C04" w:rsidRDefault="00211938" w:rsidP="00211938">
            <w:pPr>
              <w:pStyle w:val="7Tablebodycopy"/>
              <w:rPr>
                <w:szCs w:val="20"/>
              </w:rPr>
            </w:pPr>
          </w:p>
          <w:p w14:paraId="7EF85407" w14:textId="77777777" w:rsidR="00211938" w:rsidRPr="007E6C04" w:rsidRDefault="00211938" w:rsidP="00211938">
            <w:pPr>
              <w:pStyle w:val="7Tablebodycopy"/>
              <w:rPr>
                <w:szCs w:val="20"/>
              </w:rPr>
            </w:pPr>
          </w:p>
          <w:p w14:paraId="2E000C61" w14:textId="77777777" w:rsidR="005870B3" w:rsidRPr="007E6C04" w:rsidRDefault="005870B3" w:rsidP="00211938">
            <w:pPr>
              <w:pStyle w:val="7Tablebodycopy"/>
              <w:rPr>
                <w:szCs w:val="20"/>
              </w:rPr>
            </w:pPr>
          </w:p>
          <w:p w14:paraId="1FD0D17C" w14:textId="77777777" w:rsidR="005870B3" w:rsidRPr="007E6C04" w:rsidRDefault="005870B3" w:rsidP="00211938">
            <w:pPr>
              <w:pStyle w:val="7Tablebodycopy"/>
              <w:rPr>
                <w:szCs w:val="20"/>
              </w:rPr>
            </w:pPr>
          </w:p>
          <w:p w14:paraId="2A7D552A" w14:textId="1C01FC1D" w:rsidR="0018653D" w:rsidRPr="007E6C04" w:rsidRDefault="0018653D" w:rsidP="007E6C04">
            <w:pPr>
              <w:pStyle w:val="TableRowCentered"/>
              <w:jc w:val="left"/>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892E286" w:rsidR="00E66558" w:rsidRPr="003F776C" w:rsidRDefault="00211938">
            <w:pPr>
              <w:pStyle w:val="TableRowCentered"/>
              <w:jc w:val="left"/>
              <w:rPr>
                <w:sz w:val="20"/>
              </w:rPr>
            </w:pPr>
            <w:r w:rsidRPr="003F776C">
              <w:rPr>
                <w:sz w:val="20"/>
              </w:rPr>
              <w:t>1</w:t>
            </w:r>
          </w:p>
        </w:tc>
      </w:tr>
      <w:tr w:rsidR="005870B3" w:rsidRPr="00A72F55" w14:paraId="562355CE" w14:textId="77777777" w:rsidTr="00406348">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27DC" w14:textId="5F5D4539" w:rsidR="005870B3" w:rsidRPr="003F776C" w:rsidRDefault="005870B3" w:rsidP="004A56C6">
            <w:pPr>
              <w:pStyle w:val="TableRow"/>
              <w:ind w:left="0"/>
              <w:rPr>
                <w:sz w:val="20"/>
                <w:szCs w:val="20"/>
                <w:u w:val="single"/>
              </w:rPr>
            </w:pPr>
            <w:r w:rsidRPr="003F776C">
              <w:rPr>
                <w:sz w:val="20"/>
                <w:szCs w:val="20"/>
                <w:u w:val="single"/>
              </w:rPr>
              <w:t>Reading</w:t>
            </w:r>
          </w:p>
          <w:p w14:paraId="37F4C7DA" w14:textId="3AB46CB4" w:rsidR="005870B3" w:rsidRPr="003F776C" w:rsidRDefault="005870B3" w:rsidP="004A56C6">
            <w:pPr>
              <w:pStyle w:val="TableRow"/>
              <w:ind w:left="0"/>
              <w:rPr>
                <w:sz w:val="20"/>
                <w:szCs w:val="20"/>
              </w:rPr>
            </w:pPr>
            <w:r w:rsidRPr="003F776C">
              <w:rPr>
                <w:sz w:val="20"/>
                <w:szCs w:val="20"/>
              </w:rPr>
              <w:t xml:space="preserve">1:1 and small group reading is taking place across school run by trained teaching assistants or by class teaching with teaching assistants taking classes. In addition to this, </w:t>
            </w:r>
            <w:r w:rsidR="00406348" w:rsidRPr="003F776C">
              <w:rPr>
                <w:sz w:val="20"/>
                <w:szCs w:val="20"/>
              </w:rPr>
              <w:t>a</w:t>
            </w:r>
            <w:r w:rsidRPr="003F776C">
              <w:rPr>
                <w:sz w:val="20"/>
                <w:szCs w:val="20"/>
              </w:rPr>
              <w:t xml:space="preserve"> TA3 are currently being used to allow the year 3 team to have 4 concurrent phonics groups.</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1F6A" w14:textId="4BC5C7BD" w:rsidR="005870B3" w:rsidRPr="003F776C" w:rsidRDefault="007F4C2D">
            <w:pPr>
              <w:pStyle w:val="TableRowCentered"/>
              <w:jc w:val="left"/>
              <w:rPr>
                <w:sz w:val="20"/>
              </w:rPr>
            </w:pPr>
            <w:r w:rsidRPr="003F776C">
              <w:rPr>
                <w:sz w:val="20"/>
              </w:rPr>
              <w:t xml:space="preserve">Phonics: EEF strategies for improving readings: </w:t>
            </w:r>
            <w:hyperlink r:id="rId7" w:history="1">
              <w:r w:rsidR="00E707B0" w:rsidRPr="003F776C">
                <w:rPr>
                  <w:rStyle w:val="Hyperlink"/>
                  <w:sz w:val="20"/>
                </w:rPr>
                <w:t>https://educationendowmentfoundation.org.uk/education-evidence/teaching-learning-toolkit/phonics</w:t>
              </w:r>
            </w:hyperlink>
          </w:p>
          <w:p w14:paraId="0FEE2564" w14:textId="77777777" w:rsidR="00E707B0" w:rsidRPr="003F776C" w:rsidRDefault="00E707B0">
            <w:pPr>
              <w:pStyle w:val="TableRowCentered"/>
              <w:jc w:val="left"/>
              <w:rPr>
                <w:sz w:val="20"/>
              </w:rPr>
            </w:pPr>
          </w:p>
          <w:p w14:paraId="6999B8CE" w14:textId="77777777" w:rsidR="00E707B0" w:rsidRPr="003F776C" w:rsidRDefault="00E707B0">
            <w:pPr>
              <w:pStyle w:val="TableRowCentered"/>
              <w:jc w:val="left"/>
              <w:rPr>
                <w:sz w:val="20"/>
              </w:rPr>
            </w:pPr>
          </w:p>
          <w:p w14:paraId="44A3BC41" w14:textId="757A22E6" w:rsidR="00E707B0" w:rsidRPr="003F776C" w:rsidRDefault="00E707B0">
            <w:pPr>
              <w:pStyle w:val="TableRowCentered"/>
              <w:jc w:val="left"/>
              <w:rPr>
                <w:sz w:val="20"/>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9DD15" w14:textId="711CE04A" w:rsidR="005870B3" w:rsidRPr="003F776C" w:rsidRDefault="00BD07C4">
            <w:pPr>
              <w:pStyle w:val="TableRowCentered"/>
              <w:jc w:val="left"/>
              <w:rPr>
                <w:sz w:val="20"/>
              </w:rPr>
            </w:pPr>
            <w:r w:rsidRPr="003F776C">
              <w:rPr>
                <w:sz w:val="20"/>
              </w:rPr>
              <w:t>1</w:t>
            </w:r>
          </w:p>
        </w:tc>
      </w:tr>
      <w:tr w:rsidR="00BD07C4" w:rsidRPr="00A72F55" w14:paraId="041565AB" w14:textId="77777777" w:rsidTr="00406348">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FFE67" w14:textId="52FFDE95" w:rsidR="00BD07C4" w:rsidRPr="003F776C" w:rsidRDefault="00FB0DEA" w:rsidP="004A56C6">
            <w:pPr>
              <w:pStyle w:val="TableRow"/>
              <w:ind w:left="0"/>
              <w:rPr>
                <w:sz w:val="20"/>
                <w:szCs w:val="20"/>
                <w:u w:val="single"/>
              </w:rPr>
            </w:pPr>
            <w:r w:rsidRPr="003F776C">
              <w:rPr>
                <w:sz w:val="20"/>
                <w:szCs w:val="20"/>
                <w:u w:val="single"/>
              </w:rPr>
              <w:t>Phonics</w:t>
            </w:r>
          </w:p>
          <w:p w14:paraId="2656857C" w14:textId="1B369664" w:rsidR="00BD07C4" w:rsidRPr="003F776C" w:rsidRDefault="00BD07C4" w:rsidP="004A56C6">
            <w:pPr>
              <w:pStyle w:val="TableRow"/>
              <w:ind w:left="0"/>
              <w:rPr>
                <w:sz w:val="20"/>
                <w:szCs w:val="20"/>
              </w:rPr>
            </w:pPr>
            <w:r w:rsidRPr="003F776C">
              <w:rPr>
                <w:sz w:val="20"/>
                <w:szCs w:val="20"/>
              </w:rPr>
              <w:t xml:space="preserve">This is an intensive, </w:t>
            </w:r>
            <w:proofErr w:type="gramStart"/>
            <w:r w:rsidRPr="003F776C">
              <w:rPr>
                <w:sz w:val="20"/>
                <w:szCs w:val="20"/>
              </w:rPr>
              <w:t>20 week</w:t>
            </w:r>
            <w:proofErr w:type="gramEnd"/>
            <w:r w:rsidRPr="003F776C">
              <w:rPr>
                <w:sz w:val="20"/>
                <w:szCs w:val="20"/>
              </w:rPr>
              <w:t xml:space="preserve"> programme run as a 4 x weekly, 45 minute intervention to support the most vulnerable in terms of literacy.</w:t>
            </w:r>
          </w:p>
        </w:tc>
        <w:tc>
          <w:tcPr>
            <w:tcW w:w="5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294E" w14:textId="77777777" w:rsidR="00C416DE" w:rsidRPr="003F776C" w:rsidRDefault="00C416DE" w:rsidP="00C416DE">
            <w:pPr>
              <w:pStyle w:val="TableRowCentered"/>
              <w:jc w:val="left"/>
              <w:rPr>
                <w:sz w:val="20"/>
              </w:rPr>
            </w:pPr>
            <w:r w:rsidRPr="003F776C">
              <w:rPr>
                <w:sz w:val="20"/>
              </w:rPr>
              <w:t xml:space="preserve">Use of teaching assistants: </w:t>
            </w:r>
            <w:hyperlink r:id="rId8" w:history="1">
              <w:r w:rsidRPr="003F776C">
                <w:rPr>
                  <w:rStyle w:val="Hyperlink"/>
                  <w:sz w:val="20"/>
                </w:rPr>
                <w:t>https://educationendowmentfoundation.org.uk/education-evidence/guidance-reports/teaching-assistants</w:t>
              </w:r>
            </w:hyperlink>
          </w:p>
          <w:p w14:paraId="604B9A7F" w14:textId="49F6529D" w:rsidR="00BD07C4" w:rsidRPr="003F776C" w:rsidRDefault="00BD07C4">
            <w:pPr>
              <w:pStyle w:val="TableRowCentered"/>
              <w:jc w:val="left"/>
              <w:rPr>
                <w:sz w:val="20"/>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2D9AB" w14:textId="18342F9B" w:rsidR="00BD07C4" w:rsidRPr="003F776C" w:rsidRDefault="00BD07C4">
            <w:pPr>
              <w:pStyle w:val="TableRowCentered"/>
              <w:jc w:val="left"/>
              <w:rPr>
                <w:sz w:val="20"/>
              </w:rPr>
            </w:pPr>
            <w:r w:rsidRPr="003F776C">
              <w:rPr>
                <w:sz w:val="20"/>
              </w:rPr>
              <w:t>1</w:t>
            </w:r>
          </w:p>
        </w:tc>
      </w:tr>
    </w:tbl>
    <w:p w14:paraId="2A7D5531" w14:textId="77777777" w:rsidR="00E66558" w:rsidRPr="00A72F55" w:rsidRDefault="00E66558">
      <w:pPr>
        <w:spacing w:after="0"/>
        <w:rPr>
          <w:b/>
          <w:color w:val="104F75"/>
          <w:sz w:val="20"/>
          <w:szCs w:val="20"/>
          <w:highlight w:val="yellow"/>
        </w:rPr>
      </w:pPr>
    </w:p>
    <w:p w14:paraId="2A7D5532" w14:textId="59A68BC3" w:rsidR="00E66558" w:rsidRPr="003F776C" w:rsidRDefault="009D71E8">
      <w:pPr>
        <w:rPr>
          <w:b/>
          <w:color w:val="104F75"/>
          <w:sz w:val="20"/>
          <w:szCs w:val="20"/>
        </w:rPr>
      </w:pPr>
      <w:r w:rsidRPr="003F776C">
        <w:rPr>
          <w:b/>
          <w:color w:val="104F75"/>
          <w:sz w:val="20"/>
          <w:szCs w:val="20"/>
        </w:rPr>
        <w:t>Wider strategies (for example, related to attendance, behaviour, wellbeing)</w:t>
      </w:r>
    </w:p>
    <w:p w14:paraId="2A7D5533" w14:textId="4810C50B" w:rsidR="00E66558" w:rsidRPr="007E6C04" w:rsidRDefault="009D71E8">
      <w:pPr>
        <w:spacing w:before="240" w:after="120"/>
        <w:rPr>
          <w:sz w:val="20"/>
          <w:szCs w:val="20"/>
        </w:rPr>
      </w:pPr>
      <w:r w:rsidRPr="007E6C04">
        <w:rPr>
          <w:sz w:val="20"/>
          <w:szCs w:val="20"/>
        </w:rPr>
        <w:t>Budgeted cost: £</w:t>
      </w:r>
      <w:r w:rsidR="00AE09E4" w:rsidRPr="007E6C04">
        <w:rPr>
          <w:sz w:val="20"/>
          <w:szCs w:val="20"/>
        </w:rPr>
        <w:t>30,000</w:t>
      </w:r>
    </w:p>
    <w:tbl>
      <w:tblPr>
        <w:tblW w:w="5000" w:type="pct"/>
        <w:tblLayout w:type="fixed"/>
        <w:tblCellMar>
          <w:left w:w="10" w:type="dxa"/>
          <w:right w:w="10" w:type="dxa"/>
        </w:tblCellMar>
        <w:tblLook w:val="04A0" w:firstRow="1" w:lastRow="0" w:firstColumn="1" w:lastColumn="0" w:noHBand="0" w:noVBand="1"/>
      </w:tblPr>
      <w:tblGrid>
        <w:gridCol w:w="2122"/>
        <w:gridCol w:w="5670"/>
        <w:gridCol w:w="1694"/>
      </w:tblGrid>
      <w:tr w:rsidR="00E66558" w:rsidRPr="00A72F55" w14:paraId="2A7D5537"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3F776C" w:rsidRDefault="009D71E8">
            <w:pPr>
              <w:pStyle w:val="TableHeader"/>
              <w:jc w:val="left"/>
              <w:rPr>
                <w:sz w:val="20"/>
                <w:szCs w:val="20"/>
              </w:rPr>
            </w:pPr>
            <w:r w:rsidRPr="003F776C">
              <w:rPr>
                <w:sz w:val="20"/>
                <w:szCs w:val="20"/>
              </w:rP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3F776C" w:rsidRDefault="009D71E8">
            <w:pPr>
              <w:pStyle w:val="TableHeader"/>
              <w:jc w:val="left"/>
              <w:rPr>
                <w:sz w:val="20"/>
                <w:szCs w:val="20"/>
              </w:rPr>
            </w:pPr>
            <w:r w:rsidRPr="003F776C">
              <w:rPr>
                <w:sz w:val="20"/>
                <w:szCs w:val="20"/>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3F776C" w:rsidRDefault="009D71E8">
            <w:pPr>
              <w:pStyle w:val="TableHeader"/>
              <w:jc w:val="left"/>
              <w:rPr>
                <w:sz w:val="20"/>
                <w:szCs w:val="20"/>
              </w:rPr>
            </w:pPr>
            <w:r w:rsidRPr="003F776C">
              <w:rPr>
                <w:sz w:val="20"/>
                <w:szCs w:val="20"/>
              </w:rPr>
              <w:t>Challenge number(s) addressed</w:t>
            </w:r>
          </w:p>
        </w:tc>
      </w:tr>
      <w:tr w:rsidR="00E66558" w:rsidRPr="00A72F55" w14:paraId="2A7D553B"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56FF272" w:rsidR="00E66558" w:rsidRPr="003F776C" w:rsidRDefault="003F776C" w:rsidP="00211938">
            <w:pPr>
              <w:pStyle w:val="7Tablebodycopy"/>
              <w:rPr>
                <w:szCs w:val="20"/>
              </w:rPr>
            </w:pPr>
            <w:r w:rsidRPr="003F776C">
              <w:rPr>
                <w:szCs w:val="20"/>
              </w:rPr>
              <w:t>All staff will be trained in Uncondi</w:t>
            </w:r>
            <w:r w:rsidRPr="003F776C">
              <w:rPr>
                <w:szCs w:val="20"/>
              </w:rPr>
              <w:lastRenderedPageBreak/>
              <w:t>tional Positive Regard as a means to support disadvantaged and vulnerable children.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53A9" w14:textId="6B68CCD9" w:rsidR="005D545F" w:rsidRPr="003F776C" w:rsidRDefault="005D545F" w:rsidP="005D545F">
            <w:pPr>
              <w:pStyle w:val="NormalWeb"/>
              <w:shd w:val="clear" w:color="auto" w:fill="FFFFFF"/>
              <w:spacing w:before="0" w:beforeAutospacing="0" w:after="0" w:afterAutospacing="0"/>
              <w:rPr>
                <w:rFonts w:ascii="Arial" w:hAnsi="Arial" w:cs="Arial"/>
                <w:color w:val="000000" w:themeColor="text1"/>
                <w:sz w:val="20"/>
                <w:szCs w:val="23"/>
              </w:rPr>
            </w:pPr>
            <w:r w:rsidRPr="003F776C">
              <w:rPr>
                <w:rFonts w:ascii="Arial" w:hAnsi="Arial" w:cs="Arial"/>
                <w:color w:val="000000" w:themeColor="text1"/>
                <w:sz w:val="20"/>
                <w:szCs w:val="23"/>
              </w:rPr>
              <w:lastRenderedPageBreak/>
              <w:t xml:space="preserve">Many children have a high ACE score (meaning multiple adverse childhood experiences) known to leave children at risk of mental and physical ill-health later in life and even early </w:t>
            </w:r>
            <w:r w:rsidRPr="003F776C">
              <w:rPr>
                <w:rFonts w:ascii="Arial" w:hAnsi="Arial" w:cs="Arial"/>
                <w:color w:val="000000" w:themeColor="text1"/>
                <w:sz w:val="20"/>
                <w:szCs w:val="23"/>
              </w:rPr>
              <w:lastRenderedPageBreak/>
              <w:t xml:space="preserve">death' (The ACE study </w:t>
            </w:r>
            <w:proofErr w:type="spellStart"/>
            <w:r w:rsidRPr="003F776C">
              <w:rPr>
                <w:rFonts w:ascii="Arial" w:hAnsi="Arial" w:cs="Arial"/>
                <w:color w:val="000000" w:themeColor="text1"/>
                <w:sz w:val="20"/>
                <w:szCs w:val="23"/>
              </w:rPr>
              <w:t>Felitti</w:t>
            </w:r>
            <w:proofErr w:type="spellEnd"/>
            <w:r w:rsidRPr="003F776C">
              <w:rPr>
                <w:rFonts w:ascii="Arial" w:hAnsi="Arial" w:cs="Arial"/>
                <w:color w:val="000000" w:themeColor="text1"/>
                <w:sz w:val="20"/>
                <w:szCs w:val="23"/>
              </w:rPr>
              <w:t xml:space="preserve"> and Anda, a study involving over 17,000 people). </w:t>
            </w:r>
          </w:p>
          <w:p w14:paraId="2E879E6A" w14:textId="77777777" w:rsidR="001A018B" w:rsidRPr="003F776C" w:rsidRDefault="001A018B" w:rsidP="005D545F">
            <w:pPr>
              <w:pStyle w:val="NormalWeb"/>
              <w:shd w:val="clear" w:color="auto" w:fill="FFFFFF"/>
              <w:spacing w:before="0" w:beforeAutospacing="0" w:after="0" w:afterAutospacing="0"/>
              <w:rPr>
                <w:rFonts w:ascii="Arial" w:hAnsi="Arial" w:cs="Arial"/>
                <w:color w:val="000000" w:themeColor="text1"/>
                <w:sz w:val="20"/>
                <w:szCs w:val="23"/>
              </w:rPr>
            </w:pPr>
          </w:p>
          <w:p w14:paraId="00705D74" w14:textId="7102C474" w:rsidR="005D545F" w:rsidRPr="003F776C" w:rsidRDefault="005D545F" w:rsidP="005D545F">
            <w:pPr>
              <w:pStyle w:val="NormalWeb"/>
              <w:shd w:val="clear" w:color="auto" w:fill="FFFFFF"/>
              <w:spacing w:before="0" w:beforeAutospacing="0" w:after="0" w:afterAutospacing="0"/>
              <w:rPr>
                <w:rFonts w:ascii="Arial" w:hAnsi="Arial" w:cs="Arial"/>
                <w:color w:val="000000" w:themeColor="text1"/>
                <w:sz w:val="20"/>
                <w:szCs w:val="23"/>
              </w:rPr>
            </w:pPr>
            <w:r w:rsidRPr="003F776C">
              <w:rPr>
                <w:rFonts w:ascii="Arial" w:hAnsi="Arial" w:cs="Arial"/>
                <w:color w:val="000000" w:themeColor="text1"/>
                <w:sz w:val="20"/>
                <w:szCs w:val="23"/>
              </w:rPr>
              <w:t>The government Green Paper 'Transforming Children and Young People’s Mental Health Provision' (December 2017) wants a Mental Health Lead in every school (trained member of school staff). Their research found that appropriately trained teachers /teaching assistants can achieve results comparable to those of trained therapists. To quote, "There is evidence that appropriately-trained and supported staff such as teachers, school nurses, counsellors, and teaching assistants can achieve results comparable to those achieved by trained therapists in delivering a number of interventions addressing mild to moderate mental health problems (such as anxiety, conduct disorder, substance use disorders and post-traumatic stress disorder)”</w:t>
            </w:r>
          </w:p>
          <w:p w14:paraId="2A7D5539" w14:textId="77777777" w:rsidR="00E66558" w:rsidRPr="003F776C" w:rsidRDefault="00E66558">
            <w:pPr>
              <w:pStyle w:val="TableRowCentered"/>
              <w:jc w:val="left"/>
              <w:rPr>
                <w:rFonts w:cs="Arial"/>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86DCFF1" w:rsidR="00E66558" w:rsidRPr="003F776C" w:rsidRDefault="00CC3AEB">
            <w:pPr>
              <w:pStyle w:val="TableRowCentered"/>
              <w:jc w:val="left"/>
              <w:rPr>
                <w:sz w:val="20"/>
              </w:rPr>
            </w:pPr>
            <w:r w:rsidRPr="003F776C">
              <w:rPr>
                <w:sz w:val="20"/>
              </w:rPr>
              <w:lastRenderedPageBreak/>
              <w:t>2</w:t>
            </w:r>
            <w:r w:rsidR="003F776C" w:rsidRPr="003F776C">
              <w:rPr>
                <w:sz w:val="20"/>
              </w:rPr>
              <w:t>,3</w:t>
            </w:r>
          </w:p>
        </w:tc>
      </w:tr>
      <w:tr w:rsidR="00E66558" w:rsidRPr="00A72F55" w14:paraId="2A7D553F"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33B3001" w:rsidR="00E66558" w:rsidRPr="003F776C" w:rsidRDefault="00BD07C4" w:rsidP="00AE09E4">
            <w:pPr>
              <w:pStyle w:val="TableRow"/>
              <w:ind w:left="0"/>
              <w:rPr>
                <w:sz w:val="20"/>
                <w:szCs w:val="20"/>
              </w:rPr>
            </w:pPr>
            <w:r w:rsidRPr="003F776C">
              <w:rPr>
                <w:sz w:val="20"/>
                <w:szCs w:val="20"/>
              </w:rPr>
              <w:t>Funding to purchase books for the library</w:t>
            </w:r>
            <w:r w:rsidR="00270468" w:rsidRPr="003F776C">
              <w:rPr>
                <w:sz w:val="20"/>
                <w:szCs w:val="20"/>
              </w:rPr>
              <w:t xml:space="preserve"> to allow disadvantaged children access to a wide range of high quality, up-to-date texts.</w:t>
            </w:r>
            <w:r w:rsidR="003F776C" w:rsidRPr="003F776C">
              <w:rPr>
                <w:sz w:val="20"/>
                <w:szCs w:val="20"/>
              </w:rPr>
              <w:t xml:space="preserve"> Mainly linked to Little </w:t>
            </w:r>
            <w:proofErr w:type="spellStart"/>
            <w:r w:rsidR="003F776C" w:rsidRPr="003F776C">
              <w:rPr>
                <w:sz w:val="20"/>
                <w:szCs w:val="20"/>
              </w:rPr>
              <w:t>Wandle</w:t>
            </w:r>
            <w:proofErr w:type="spellEnd"/>
            <w:r w:rsidR="003F776C" w:rsidRPr="003F776C">
              <w:rPr>
                <w:sz w:val="20"/>
                <w:szCs w:val="20"/>
              </w:rPr>
              <w:t xml:space="preserve"> Phonics books.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B791" w14:textId="7F1A7427" w:rsidR="00E66558" w:rsidRPr="003F776C" w:rsidRDefault="003F776C">
            <w:pPr>
              <w:pStyle w:val="TableRowCentered"/>
              <w:jc w:val="left"/>
              <w:rPr>
                <w:sz w:val="20"/>
              </w:rPr>
            </w:pPr>
            <w:r w:rsidRPr="003F776C">
              <w:rPr>
                <w:sz w:val="20"/>
              </w:rPr>
              <w:t xml:space="preserve">Phonics </w:t>
            </w:r>
            <w:hyperlink r:id="rId9" w:history="1">
              <w:r w:rsidRPr="003F776C">
                <w:rPr>
                  <w:rStyle w:val="Hyperlink"/>
                  <w:sz w:val="20"/>
                </w:rPr>
                <w:t xml:space="preserve">https://educationendowmentfoundation.org.uk/education-evidence/teaching-learning-toolkit/phonics </w:t>
              </w:r>
            </w:hyperlink>
          </w:p>
          <w:p w14:paraId="2A7D553D" w14:textId="71AEEFDC" w:rsidR="00CC3AEB" w:rsidRPr="003F776C" w:rsidRDefault="00CC3AEB">
            <w:pPr>
              <w:pStyle w:val="TableRowCentered"/>
              <w:jc w:val="left"/>
              <w:rPr>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1924BEA" w:rsidR="00E66558" w:rsidRPr="003F776C" w:rsidRDefault="00CC3AEB">
            <w:pPr>
              <w:pStyle w:val="TableRowCentered"/>
              <w:jc w:val="left"/>
              <w:rPr>
                <w:sz w:val="20"/>
              </w:rPr>
            </w:pPr>
            <w:r w:rsidRPr="003F776C">
              <w:rPr>
                <w:sz w:val="20"/>
              </w:rPr>
              <w:t>1</w:t>
            </w:r>
          </w:p>
        </w:tc>
      </w:tr>
      <w:tr w:rsidR="00BD07C4" w:rsidRPr="00A72F55" w14:paraId="65A59E80"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DF8D" w14:textId="19D1B844" w:rsidR="00BD07C4" w:rsidRPr="007E6C04" w:rsidRDefault="00270468">
            <w:pPr>
              <w:pStyle w:val="TableRow"/>
              <w:rPr>
                <w:sz w:val="20"/>
                <w:szCs w:val="20"/>
              </w:rPr>
            </w:pPr>
            <w:r w:rsidRPr="007E6C04">
              <w:rPr>
                <w:sz w:val="20"/>
                <w:szCs w:val="20"/>
              </w:rPr>
              <w:t xml:space="preserve">The </w:t>
            </w:r>
            <w:r w:rsidR="007A36BD" w:rsidRPr="007E6C04">
              <w:rPr>
                <w:sz w:val="20"/>
                <w:szCs w:val="20"/>
              </w:rPr>
              <w:t xml:space="preserve">Attendance and Inclusion Officer </w:t>
            </w:r>
            <w:r w:rsidRPr="007E6C04">
              <w:rPr>
                <w:sz w:val="20"/>
                <w:szCs w:val="20"/>
              </w:rPr>
              <w:t>is employed to offer</w:t>
            </w:r>
            <w:r w:rsidR="00BD07C4" w:rsidRPr="007E6C04">
              <w:rPr>
                <w:sz w:val="20"/>
                <w:szCs w:val="20"/>
              </w:rPr>
              <w:t xml:space="preserve"> </w:t>
            </w:r>
            <w:r w:rsidR="003F776C" w:rsidRPr="007E6C04">
              <w:rPr>
                <w:sz w:val="20"/>
                <w:szCs w:val="20"/>
              </w:rPr>
              <w:t>well-being</w:t>
            </w:r>
            <w:r w:rsidR="00BD07C4" w:rsidRPr="007E6C04">
              <w:rPr>
                <w:sz w:val="20"/>
                <w:szCs w:val="20"/>
              </w:rPr>
              <w:t xml:space="preserve"> support</w:t>
            </w:r>
            <w:r w:rsidRPr="007E6C04">
              <w:rPr>
                <w:sz w:val="20"/>
                <w:szCs w:val="20"/>
              </w:rPr>
              <w:t xml:space="preserve"> to both children and families, support families with access to wider agencies and deliver specific 1:1 </w:t>
            </w:r>
            <w:proofErr w:type="gramStart"/>
            <w:r w:rsidRPr="007E6C04">
              <w:rPr>
                <w:sz w:val="20"/>
                <w:szCs w:val="20"/>
              </w:rPr>
              <w:t>interventions</w:t>
            </w:r>
            <w:proofErr w:type="gramEnd"/>
            <w:r w:rsidRPr="007E6C04">
              <w:rPr>
                <w:sz w:val="20"/>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57A35" w14:textId="2600207F" w:rsidR="00BD07C4" w:rsidRPr="007E6C04" w:rsidRDefault="00CC3AEB">
            <w:pPr>
              <w:pStyle w:val="TableRowCentered"/>
              <w:jc w:val="left"/>
              <w:rPr>
                <w:sz w:val="20"/>
              </w:rPr>
            </w:pPr>
            <w:r w:rsidRPr="007E6C04">
              <w:rPr>
                <w:sz w:val="20"/>
              </w:rPr>
              <w:t xml:space="preserve">Promoting children and young people’s mental health: </w:t>
            </w:r>
            <w:hyperlink r:id="rId10" w:history="1">
              <w:r w:rsidRPr="007E6C04">
                <w:rPr>
                  <w:rStyle w:val="Hyperlink"/>
                  <w:sz w:val="20"/>
                </w:rPr>
                <w:t>https://assets.publishing.service.gov.uk/government/uploads/system/uploads/attachment_data/file/1020249/Promoting_children_and_young_people_s_mental_health_and_wellbeing.pdf</w:t>
              </w:r>
            </w:hyperlink>
          </w:p>
          <w:p w14:paraId="0196E4AA" w14:textId="659F560F" w:rsidR="00CC3AEB" w:rsidRPr="007E6C04" w:rsidRDefault="00CC3AEB">
            <w:pPr>
              <w:pStyle w:val="TableRowCentered"/>
              <w:jc w:val="left"/>
              <w:rPr>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0954" w14:textId="4FD26115" w:rsidR="00BD07C4" w:rsidRPr="007E6C04" w:rsidRDefault="00C416DE">
            <w:pPr>
              <w:pStyle w:val="TableRowCentered"/>
              <w:jc w:val="left"/>
              <w:rPr>
                <w:sz w:val="20"/>
              </w:rPr>
            </w:pPr>
            <w:r w:rsidRPr="007E6C04">
              <w:rPr>
                <w:sz w:val="20"/>
              </w:rPr>
              <w:t>2</w:t>
            </w:r>
            <w:r w:rsidR="007E6C04" w:rsidRPr="007E6C04">
              <w:rPr>
                <w:sz w:val="20"/>
              </w:rPr>
              <w:t>,</w:t>
            </w:r>
            <w:r w:rsidR="003F776C" w:rsidRPr="007E6C04">
              <w:rPr>
                <w:sz w:val="20"/>
              </w:rPr>
              <w:t>3</w:t>
            </w:r>
            <w:r w:rsidR="007E6C04" w:rsidRPr="007E6C04">
              <w:rPr>
                <w:sz w:val="20"/>
              </w:rPr>
              <w:t xml:space="preserve"> and 4</w:t>
            </w:r>
          </w:p>
        </w:tc>
      </w:tr>
      <w:tr w:rsidR="007E6C04" w:rsidRPr="00A72F55" w14:paraId="4E834AAF"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55D06" w14:textId="28E646A6" w:rsidR="007E6C04" w:rsidRPr="007E6C04" w:rsidRDefault="007E6C04">
            <w:pPr>
              <w:pStyle w:val="TableRow"/>
              <w:rPr>
                <w:sz w:val="20"/>
                <w:szCs w:val="20"/>
              </w:rPr>
            </w:pPr>
            <w:r>
              <w:rPr>
                <w:sz w:val="20"/>
                <w:szCs w:val="20"/>
              </w:rPr>
              <w:t>Dual Language Coffee Mornings. Weekly Coffee Mornings focussing on academic and life skills support e.g. support filling in forms.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7175" w14:textId="31EE2248" w:rsidR="007E6C04" w:rsidRDefault="007E6C04">
            <w:pPr>
              <w:pStyle w:val="TableRowCentered"/>
              <w:jc w:val="left"/>
              <w:rPr>
                <w:sz w:val="20"/>
              </w:rPr>
            </w:pPr>
            <w:r>
              <w:rPr>
                <w:sz w:val="20"/>
              </w:rPr>
              <w:t>NASUWT Guidance on community cohesion</w:t>
            </w:r>
          </w:p>
          <w:p w14:paraId="039E1F0F" w14:textId="061A7743" w:rsidR="007E6C04" w:rsidRDefault="008C6D34">
            <w:pPr>
              <w:pStyle w:val="TableRowCentered"/>
              <w:jc w:val="left"/>
              <w:rPr>
                <w:sz w:val="20"/>
              </w:rPr>
            </w:pPr>
            <w:hyperlink r:id="rId11" w:history="1">
              <w:r w:rsidR="007E6C04" w:rsidRPr="00760AA4">
                <w:rPr>
                  <w:rStyle w:val="Hyperlink"/>
                  <w:sz w:val="20"/>
                </w:rPr>
                <w:t>https://www.nasuwt.org.uk/advice/in-the-classroom/children-and-young-people/community-cohesion.html</w:t>
              </w:r>
            </w:hyperlink>
          </w:p>
          <w:p w14:paraId="60DE7F80" w14:textId="68042F79" w:rsidR="007E6C04" w:rsidRPr="007E6C04" w:rsidRDefault="007E6C04">
            <w:pPr>
              <w:pStyle w:val="TableRowCentered"/>
              <w:jc w:val="left"/>
              <w:rPr>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E46E9" w14:textId="61097D78" w:rsidR="007E6C04" w:rsidRPr="007E6C04" w:rsidRDefault="007E6C04">
            <w:pPr>
              <w:pStyle w:val="TableRowCentered"/>
              <w:jc w:val="left"/>
              <w:rPr>
                <w:sz w:val="20"/>
              </w:rPr>
            </w:pPr>
            <w:r>
              <w:rPr>
                <w:sz w:val="20"/>
              </w:rPr>
              <w:t>3,4</w:t>
            </w:r>
          </w:p>
        </w:tc>
      </w:tr>
      <w:tr w:rsidR="00BD07C4" w:rsidRPr="00A72F55" w14:paraId="1403D781"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65F7A" w14:textId="1771A26B" w:rsidR="00BD07C4" w:rsidRPr="007E6C04" w:rsidRDefault="00270468">
            <w:pPr>
              <w:pStyle w:val="TableRow"/>
              <w:rPr>
                <w:sz w:val="20"/>
                <w:szCs w:val="20"/>
              </w:rPr>
            </w:pPr>
            <w:r w:rsidRPr="007E6C04">
              <w:rPr>
                <w:sz w:val="20"/>
                <w:szCs w:val="20"/>
              </w:rPr>
              <w:t xml:space="preserve">The </w:t>
            </w:r>
            <w:r w:rsidR="00673A30" w:rsidRPr="007E6C04">
              <w:rPr>
                <w:sz w:val="20"/>
                <w:szCs w:val="20"/>
              </w:rPr>
              <w:t xml:space="preserve">Attendance and Inclusion Officer </w:t>
            </w:r>
            <w:r w:rsidRPr="007E6C04">
              <w:rPr>
                <w:sz w:val="20"/>
                <w:szCs w:val="20"/>
              </w:rPr>
              <w:t>is also employed to monitor</w:t>
            </w:r>
            <w:r w:rsidR="00BD07C4" w:rsidRPr="007E6C04">
              <w:rPr>
                <w:sz w:val="20"/>
                <w:szCs w:val="20"/>
              </w:rPr>
              <w:t xml:space="preserve"> attendance and</w:t>
            </w:r>
            <w:r w:rsidRPr="007E6C04">
              <w:rPr>
                <w:sz w:val="20"/>
                <w:szCs w:val="20"/>
              </w:rPr>
              <w:t xml:space="preserve"> offer</w:t>
            </w:r>
            <w:r w:rsidR="00BD07C4" w:rsidRPr="007E6C04">
              <w:rPr>
                <w:sz w:val="20"/>
                <w:szCs w:val="20"/>
              </w:rPr>
              <w:t xml:space="preserve"> inclusion support</w:t>
            </w:r>
            <w:r w:rsidRPr="007E6C04">
              <w:rPr>
                <w:sz w:val="20"/>
                <w:szCs w:val="20"/>
              </w:rPr>
              <w:t xml:space="preserve"> to families for whom attendance is a concern</w:t>
            </w:r>
            <w:r w:rsidR="00BD07C4" w:rsidRPr="007E6C04">
              <w:rPr>
                <w:sz w:val="20"/>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120D" w14:textId="77777777" w:rsidR="00BD07C4" w:rsidRPr="007E6C04" w:rsidRDefault="008016CC">
            <w:pPr>
              <w:pStyle w:val="TableRowCentered"/>
              <w:jc w:val="left"/>
              <w:rPr>
                <w:sz w:val="20"/>
              </w:rPr>
            </w:pPr>
            <w:r w:rsidRPr="007E6C04">
              <w:rPr>
                <w:sz w:val="20"/>
              </w:rPr>
              <w:t>Impact of low attendance on outcomes:</w:t>
            </w:r>
          </w:p>
          <w:p w14:paraId="46EB361D" w14:textId="2624A1CE" w:rsidR="008016CC" w:rsidRPr="007E6C04" w:rsidRDefault="008C6D34">
            <w:pPr>
              <w:pStyle w:val="TableRowCentered"/>
              <w:jc w:val="left"/>
              <w:rPr>
                <w:sz w:val="20"/>
              </w:rPr>
            </w:pPr>
            <w:hyperlink r:id="rId12" w:history="1">
              <w:r w:rsidR="008016CC" w:rsidRPr="007E6C04">
                <w:rPr>
                  <w:rStyle w:val="Hyperlink"/>
                  <w:sz w:val="20"/>
                </w:rPr>
                <w:t>https://schoolleaders.thekeysupport.com/pupils-and-parents/absence-and-attendance/strategies-for-managing-attendance/research-into-how-attendance-can-impact-attainment/</w:t>
              </w:r>
            </w:hyperlink>
          </w:p>
          <w:p w14:paraId="50B9A4DC" w14:textId="7D9E8F45" w:rsidR="008016CC" w:rsidRPr="007E6C04" w:rsidRDefault="008016CC">
            <w:pPr>
              <w:pStyle w:val="TableRowCentered"/>
              <w:jc w:val="left"/>
              <w:rPr>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6815" w14:textId="7DA53A40" w:rsidR="00BD07C4" w:rsidRPr="007E6C04" w:rsidRDefault="007E6C04">
            <w:pPr>
              <w:pStyle w:val="TableRowCentered"/>
              <w:jc w:val="left"/>
              <w:rPr>
                <w:sz w:val="20"/>
              </w:rPr>
            </w:pPr>
            <w:r>
              <w:rPr>
                <w:sz w:val="20"/>
              </w:rPr>
              <w:t>3,</w:t>
            </w:r>
            <w:r w:rsidR="00C416DE" w:rsidRPr="007E6C04">
              <w:rPr>
                <w:sz w:val="20"/>
              </w:rPr>
              <w:t>4</w:t>
            </w:r>
          </w:p>
        </w:tc>
      </w:tr>
      <w:tr w:rsidR="00BD07C4" w:rsidRPr="00A72F55" w14:paraId="3A9314A2"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9682" w14:textId="4062BC9F" w:rsidR="00BD07C4" w:rsidRPr="007E6C04" w:rsidRDefault="00BD07C4">
            <w:pPr>
              <w:pStyle w:val="TableRow"/>
              <w:rPr>
                <w:sz w:val="20"/>
                <w:szCs w:val="20"/>
              </w:rPr>
            </w:pPr>
            <w:r w:rsidRPr="007E6C04">
              <w:rPr>
                <w:sz w:val="20"/>
                <w:szCs w:val="20"/>
              </w:rPr>
              <w:t>Extra-curricular funding</w:t>
            </w:r>
            <w:r w:rsidR="00270468" w:rsidRPr="007E6C04">
              <w:rPr>
                <w:sz w:val="20"/>
                <w:szCs w:val="20"/>
              </w:rPr>
              <w:t xml:space="preserve">. A minimum subsidy of 50% will be offered to </w:t>
            </w:r>
            <w:r w:rsidR="00270468" w:rsidRPr="007E6C04">
              <w:rPr>
                <w:sz w:val="20"/>
                <w:szCs w:val="20"/>
              </w:rPr>
              <w:lastRenderedPageBreak/>
              <w:t>children in the receipt of PP in order to allows them access to a wider range of activities to broaden children’s experiences and support mental well-being.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BA1E" w14:textId="3350D9CC" w:rsidR="00BD07C4" w:rsidRPr="007E6C04" w:rsidRDefault="00CC3AEB">
            <w:pPr>
              <w:pStyle w:val="TableRowCentered"/>
              <w:jc w:val="left"/>
              <w:rPr>
                <w:sz w:val="20"/>
              </w:rPr>
            </w:pPr>
            <w:r w:rsidRPr="007E6C04">
              <w:rPr>
                <w:sz w:val="20"/>
              </w:rPr>
              <w:lastRenderedPageBreak/>
              <w:t>In order to provide the wide range of experiences that would otherwise be missed by the children in receipt of pupil premium</w:t>
            </w:r>
            <w:r w:rsidR="008016CC" w:rsidRPr="007E6C04">
              <w:rPr>
                <w:sz w:val="20"/>
              </w:rPr>
              <w:t>,</w:t>
            </w:r>
            <w:r w:rsidR="00C416DE" w:rsidRPr="007E6C04">
              <w:rPr>
                <w:sz w:val="20"/>
              </w:rPr>
              <w:t xml:space="preserve"> a subsidy will allow all children to take part.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CFE9" w14:textId="7BA94CD0" w:rsidR="00BD07C4" w:rsidRPr="007E6C04" w:rsidRDefault="00C416DE">
            <w:pPr>
              <w:pStyle w:val="TableRowCentered"/>
              <w:jc w:val="left"/>
              <w:rPr>
                <w:sz w:val="20"/>
              </w:rPr>
            </w:pPr>
            <w:r w:rsidRPr="007E6C04">
              <w:rPr>
                <w:sz w:val="20"/>
              </w:rPr>
              <w:t>3</w:t>
            </w:r>
          </w:p>
        </w:tc>
      </w:tr>
      <w:tr w:rsidR="00BD07C4" w:rsidRPr="00A72F55" w14:paraId="7B6AE307" w14:textId="77777777" w:rsidTr="00CC3AEB">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275A" w14:textId="33A01285" w:rsidR="00BD07C4" w:rsidRPr="007E6C04" w:rsidRDefault="00BD07C4">
            <w:pPr>
              <w:pStyle w:val="TableRow"/>
              <w:rPr>
                <w:sz w:val="20"/>
                <w:szCs w:val="20"/>
              </w:rPr>
            </w:pPr>
            <w:r w:rsidRPr="007E6C04">
              <w:rPr>
                <w:sz w:val="20"/>
                <w:szCs w:val="20"/>
              </w:rPr>
              <w:t>Support for curriculum</w:t>
            </w:r>
            <w:r w:rsidR="00270468" w:rsidRPr="007E6C04">
              <w:rPr>
                <w:sz w:val="20"/>
                <w:szCs w:val="20"/>
              </w:rPr>
              <w:t>. A minimum subsidy of 50% will be offered to children in the receipt of PP in order to allows them access to a wider range of activities and experiences designed to enhance learning.</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7FCF" w14:textId="78805DF0" w:rsidR="00BD07C4" w:rsidRPr="007E6C04" w:rsidRDefault="00D33138">
            <w:pPr>
              <w:pStyle w:val="TableRowCentered"/>
              <w:jc w:val="left"/>
              <w:rPr>
                <w:sz w:val="20"/>
              </w:rPr>
            </w:pPr>
            <w:r w:rsidRPr="007E6C04">
              <w:rPr>
                <w:sz w:val="20"/>
              </w:rPr>
              <w:t>In order to provide the wide range of experiences that would otherwise be missed by the children in receipt of pupil premium, a subsidy will allow all children to take part.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196B" w14:textId="28F4B6DF" w:rsidR="00BD07C4" w:rsidRPr="007E6C04" w:rsidRDefault="00C416DE">
            <w:pPr>
              <w:pStyle w:val="TableRowCentered"/>
              <w:jc w:val="left"/>
              <w:rPr>
                <w:sz w:val="20"/>
              </w:rPr>
            </w:pPr>
            <w:r w:rsidRPr="007E6C04">
              <w:rPr>
                <w:sz w:val="20"/>
              </w:rPr>
              <w:t>3</w:t>
            </w:r>
          </w:p>
        </w:tc>
      </w:tr>
    </w:tbl>
    <w:p w14:paraId="2A7D5540" w14:textId="77777777" w:rsidR="00E66558" w:rsidRPr="00A72F55" w:rsidRDefault="00E66558">
      <w:pPr>
        <w:spacing w:before="240" w:after="0"/>
        <w:rPr>
          <w:b/>
          <w:bCs/>
          <w:color w:val="104F75"/>
          <w:sz w:val="20"/>
          <w:szCs w:val="20"/>
          <w:highlight w:val="yellow"/>
        </w:rPr>
      </w:pPr>
    </w:p>
    <w:p w14:paraId="2A7D5541" w14:textId="4FEB802A" w:rsidR="00E66558" w:rsidRPr="007E6C04" w:rsidRDefault="009D71E8" w:rsidP="00120AB1">
      <w:pPr>
        <w:rPr>
          <w:sz w:val="20"/>
          <w:szCs w:val="20"/>
        </w:rPr>
      </w:pPr>
      <w:r w:rsidRPr="007E6C04">
        <w:rPr>
          <w:b/>
          <w:bCs/>
          <w:color w:val="104F75"/>
          <w:sz w:val="20"/>
          <w:szCs w:val="20"/>
        </w:rPr>
        <w:t xml:space="preserve">Total budgeted cost: £ </w:t>
      </w:r>
      <w:r w:rsidR="007E6C04" w:rsidRPr="007E6C04">
        <w:rPr>
          <w:i/>
          <w:iCs/>
          <w:color w:val="104F75"/>
          <w:sz w:val="20"/>
          <w:szCs w:val="20"/>
        </w:rPr>
        <w:t>87,000</w:t>
      </w:r>
    </w:p>
    <w:p w14:paraId="2A7D5542" w14:textId="77777777" w:rsidR="00E66558" w:rsidRPr="00640511" w:rsidRDefault="009D71E8">
      <w:pPr>
        <w:pStyle w:val="Heading1"/>
        <w:rPr>
          <w:sz w:val="20"/>
          <w:szCs w:val="20"/>
        </w:rPr>
      </w:pPr>
      <w:r w:rsidRPr="00640511">
        <w:rPr>
          <w:sz w:val="20"/>
          <w:szCs w:val="20"/>
        </w:rPr>
        <w:lastRenderedPageBreak/>
        <w:t>Part B: Review of outcomes in the previous academic year</w:t>
      </w:r>
    </w:p>
    <w:p w14:paraId="2A7D5543" w14:textId="77777777" w:rsidR="00E66558" w:rsidRPr="00640511" w:rsidRDefault="009D71E8">
      <w:pPr>
        <w:pStyle w:val="Heading2"/>
        <w:rPr>
          <w:sz w:val="20"/>
          <w:szCs w:val="20"/>
        </w:rPr>
      </w:pPr>
      <w:r w:rsidRPr="00640511">
        <w:rPr>
          <w:sz w:val="20"/>
          <w:szCs w:val="20"/>
        </w:rPr>
        <w:t>Pupil premium strategy outcomes</w:t>
      </w:r>
    </w:p>
    <w:p w14:paraId="2A7D5544" w14:textId="7420A296" w:rsidR="00E66558" w:rsidRPr="00640511" w:rsidRDefault="009D71E8">
      <w:pPr>
        <w:rPr>
          <w:sz w:val="20"/>
          <w:szCs w:val="20"/>
        </w:rPr>
      </w:pPr>
      <w:r w:rsidRPr="00640511">
        <w:rPr>
          <w:sz w:val="20"/>
          <w:szCs w:val="20"/>
        </w:rPr>
        <w:t>This details the impact that our pupil premium activity had on pupils in the 202</w:t>
      </w:r>
      <w:r w:rsidR="00640511" w:rsidRPr="00640511">
        <w:rPr>
          <w:sz w:val="20"/>
          <w:szCs w:val="20"/>
        </w:rPr>
        <w:t>2</w:t>
      </w:r>
      <w:r w:rsidRPr="00640511">
        <w:rPr>
          <w:sz w:val="20"/>
          <w:szCs w:val="20"/>
        </w:rPr>
        <w:t xml:space="preserve"> to 202</w:t>
      </w:r>
      <w:r w:rsidR="00640511" w:rsidRPr="00640511">
        <w:rPr>
          <w:sz w:val="20"/>
          <w:szCs w:val="20"/>
        </w:rPr>
        <w:t>3</w:t>
      </w:r>
      <w:r w:rsidRPr="00640511">
        <w:rPr>
          <w:sz w:val="20"/>
          <w:szCs w:val="20"/>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A72F55"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03D5" w14:textId="77950200" w:rsidR="00EC3FE1" w:rsidRPr="00A72F55" w:rsidRDefault="00B615AD" w:rsidP="008A524B">
            <w:pPr>
              <w:rPr>
                <w:sz w:val="20"/>
                <w:szCs w:val="20"/>
                <w:highlight w:val="yellow"/>
              </w:rPr>
            </w:pPr>
            <w:r w:rsidRPr="00AD4011">
              <w:rPr>
                <w:sz w:val="20"/>
                <w:szCs w:val="20"/>
              </w:rPr>
              <w:t>Of the 5</w:t>
            </w:r>
            <w:r w:rsidR="00AD4011" w:rsidRPr="00AD4011">
              <w:rPr>
                <w:sz w:val="20"/>
                <w:szCs w:val="20"/>
              </w:rPr>
              <w:t>2</w:t>
            </w:r>
            <w:r w:rsidRPr="00AD4011">
              <w:rPr>
                <w:sz w:val="20"/>
                <w:szCs w:val="20"/>
              </w:rPr>
              <w:t xml:space="preserve"> children registered as Pupil Premium in s</w:t>
            </w:r>
            <w:r w:rsidRPr="00AA771B">
              <w:rPr>
                <w:sz w:val="20"/>
                <w:szCs w:val="20"/>
              </w:rPr>
              <w:t>chool, 2</w:t>
            </w:r>
            <w:r w:rsidR="00AA771B" w:rsidRPr="00AA771B">
              <w:rPr>
                <w:sz w:val="20"/>
                <w:szCs w:val="20"/>
              </w:rPr>
              <w:t>3</w:t>
            </w:r>
            <w:r w:rsidRPr="00AA771B">
              <w:rPr>
                <w:sz w:val="20"/>
                <w:szCs w:val="20"/>
              </w:rPr>
              <w:t xml:space="preserve"> are EAL </w:t>
            </w:r>
            <w:r w:rsidRPr="00BD1CA0">
              <w:rPr>
                <w:sz w:val="20"/>
                <w:szCs w:val="20"/>
              </w:rPr>
              <w:t xml:space="preserve">and </w:t>
            </w:r>
            <w:r w:rsidR="00BD1CA0" w:rsidRPr="00BD1CA0">
              <w:rPr>
                <w:sz w:val="20"/>
                <w:szCs w:val="20"/>
              </w:rPr>
              <w:t>21</w:t>
            </w:r>
            <w:r w:rsidRPr="00BD1CA0">
              <w:rPr>
                <w:sz w:val="20"/>
                <w:szCs w:val="20"/>
              </w:rPr>
              <w:t xml:space="preserve"> are </w:t>
            </w:r>
            <w:r w:rsidRPr="00AA771B">
              <w:rPr>
                <w:sz w:val="20"/>
                <w:szCs w:val="20"/>
              </w:rPr>
              <w:t xml:space="preserve">on the SEN register. </w:t>
            </w:r>
            <w:r w:rsidR="00AA771B" w:rsidRPr="00AA771B">
              <w:rPr>
                <w:sz w:val="20"/>
                <w:szCs w:val="20"/>
              </w:rPr>
              <w:t>6</w:t>
            </w:r>
            <w:r w:rsidRPr="00AA771B">
              <w:rPr>
                <w:sz w:val="20"/>
                <w:szCs w:val="20"/>
              </w:rPr>
              <w:t xml:space="preserve"> fi</w:t>
            </w:r>
            <w:r w:rsidR="00AA771B" w:rsidRPr="00AA771B">
              <w:rPr>
                <w:sz w:val="20"/>
                <w:szCs w:val="20"/>
              </w:rPr>
              <w:t>t</w:t>
            </w:r>
            <w:r w:rsidRPr="00AA771B">
              <w:rPr>
                <w:sz w:val="20"/>
                <w:szCs w:val="20"/>
              </w:rPr>
              <w:t xml:space="preserve"> in both groups. It is important to recognise these additional factors when considering the outcomes.</w:t>
            </w:r>
          </w:p>
          <w:p w14:paraId="1A617FB1" w14:textId="12F8842B" w:rsidR="008A524B" w:rsidRPr="00B669A7" w:rsidRDefault="00786B12" w:rsidP="008A524B">
            <w:pPr>
              <w:rPr>
                <w:b/>
                <w:sz w:val="20"/>
                <w:szCs w:val="20"/>
              </w:rPr>
            </w:pPr>
            <w:r w:rsidRPr="00B669A7">
              <w:rPr>
                <w:b/>
                <w:sz w:val="20"/>
                <w:szCs w:val="20"/>
              </w:rPr>
              <w:t>Outcome</w:t>
            </w:r>
            <w:r w:rsidR="008A524B" w:rsidRPr="00B669A7">
              <w:rPr>
                <w:b/>
                <w:sz w:val="20"/>
                <w:szCs w:val="20"/>
              </w:rPr>
              <w:t xml:space="preserve"> 1:</w:t>
            </w:r>
          </w:p>
          <w:p w14:paraId="296C6DD3" w14:textId="6D4EB68F" w:rsidR="008A524B" w:rsidRPr="00B669A7" w:rsidRDefault="008A524B" w:rsidP="008A524B">
            <w:pPr>
              <w:rPr>
                <w:b/>
                <w:sz w:val="20"/>
                <w:szCs w:val="20"/>
              </w:rPr>
            </w:pPr>
            <w:r w:rsidRPr="00B669A7">
              <w:rPr>
                <w:b/>
                <w:sz w:val="20"/>
                <w:szCs w:val="20"/>
              </w:rPr>
              <w:t>Gap between disadvantaged pupils and others is no bigger than at end of 201</w:t>
            </w:r>
            <w:r w:rsidR="00385D5D" w:rsidRPr="00B669A7">
              <w:rPr>
                <w:b/>
                <w:sz w:val="20"/>
                <w:szCs w:val="20"/>
              </w:rPr>
              <w:t>8</w:t>
            </w:r>
            <w:r w:rsidRPr="00B669A7">
              <w:rPr>
                <w:b/>
                <w:sz w:val="20"/>
                <w:szCs w:val="20"/>
              </w:rPr>
              <w:t>/</w:t>
            </w:r>
            <w:r w:rsidR="00385D5D" w:rsidRPr="00B669A7">
              <w:rPr>
                <w:b/>
                <w:sz w:val="20"/>
                <w:szCs w:val="20"/>
              </w:rPr>
              <w:t>19</w:t>
            </w:r>
            <w:r w:rsidRPr="00B669A7">
              <w:rPr>
                <w:b/>
                <w:sz w:val="20"/>
                <w:szCs w:val="20"/>
              </w:rPr>
              <w:t>, those who have ‘fallen behind’ make accelerated progress and ‘</w:t>
            </w:r>
            <w:proofErr w:type="spellStart"/>
            <w:r w:rsidRPr="00B669A7">
              <w:rPr>
                <w:b/>
                <w:sz w:val="20"/>
                <w:szCs w:val="20"/>
              </w:rPr>
              <w:t>catchup</w:t>
            </w:r>
            <w:proofErr w:type="spellEnd"/>
            <w:r w:rsidRPr="00B669A7">
              <w:rPr>
                <w:b/>
                <w:sz w:val="20"/>
                <w:szCs w:val="20"/>
              </w:rPr>
              <w:t>’ or exceed prior attainment standards.</w:t>
            </w:r>
          </w:p>
          <w:p w14:paraId="7FBE8016" w14:textId="0455EC1E" w:rsidR="00B669A7" w:rsidRPr="007A13D6" w:rsidRDefault="00B669A7" w:rsidP="008A524B">
            <w:pPr>
              <w:rPr>
                <w:sz w:val="20"/>
                <w:szCs w:val="20"/>
              </w:rPr>
            </w:pPr>
            <w:r w:rsidRPr="007A13D6">
              <w:rPr>
                <w:sz w:val="20"/>
                <w:szCs w:val="20"/>
              </w:rPr>
              <w:t>End of Key Stage results show that</w:t>
            </w:r>
            <w:r w:rsidR="007A13D6" w:rsidRPr="007A13D6">
              <w:rPr>
                <w:sz w:val="20"/>
                <w:szCs w:val="20"/>
              </w:rPr>
              <w:t>, compared to 2021/22 data, the following is true:</w:t>
            </w:r>
          </w:p>
          <w:p w14:paraId="6F4FFA49" w14:textId="17CC198B" w:rsidR="007A13D6" w:rsidRPr="007A13D6" w:rsidRDefault="007A13D6" w:rsidP="008A524B">
            <w:pPr>
              <w:rPr>
                <w:sz w:val="20"/>
                <w:szCs w:val="20"/>
              </w:rPr>
            </w:pPr>
            <w:r w:rsidRPr="007A13D6">
              <w:rPr>
                <w:sz w:val="20"/>
                <w:szCs w:val="20"/>
              </w:rPr>
              <w:t>2021/22 data:</w:t>
            </w:r>
          </w:p>
          <w:tbl>
            <w:tblPr>
              <w:tblStyle w:val="TableGrid"/>
              <w:tblW w:w="0" w:type="auto"/>
              <w:tblLook w:val="04A0" w:firstRow="1" w:lastRow="0" w:firstColumn="1" w:lastColumn="0" w:noHBand="0" w:noVBand="1"/>
            </w:tblPr>
            <w:tblGrid>
              <w:gridCol w:w="1908"/>
              <w:gridCol w:w="1759"/>
              <w:gridCol w:w="2165"/>
              <w:gridCol w:w="1938"/>
              <w:gridCol w:w="1497"/>
            </w:tblGrid>
            <w:tr w:rsidR="007A13D6" w14:paraId="151B036C" w14:textId="634385B1" w:rsidTr="007A13D6">
              <w:tc>
                <w:tcPr>
                  <w:tcW w:w="1908" w:type="dxa"/>
                </w:tcPr>
                <w:p w14:paraId="7A869EDC" w14:textId="272A18B2" w:rsidR="007A13D6" w:rsidRDefault="007A13D6" w:rsidP="007A13D6">
                  <w:pPr>
                    <w:spacing w:line="240" w:lineRule="auto"/>
                    <w:rPr>
                      <w:sz w:val="20"/>
                      <w:szCs w:val="20"/>
                    </w:rPr>
                  </w:pPr>
                  <w:r>
                    <w:rPr>
                      <w:sz w:val="20"/>
                      <w:szCs w:val="20"/>
                    </w:rPr>
                    <w:t>Subject</w:t>
                  </w:r>
                </w:p>
              </w:tc>
              <w:tc>
                <w:tcPr>
                  <w:tcW w:w="1759" w:type="dxa"/>
                </w:tcPr>
                <w:p w14:paraId="198967F1" w14:textId="41BA54B4" w:rsidR="007A13D6" w:rsidRDefault="007A13D6" w:rsidP="007A13D6">
                  <w:pPr>
                    <w:spacing w:line="240" w:lineRule="auto"/>
                    <w:rPr>
                      <w:sz w:val="20"/>
                      <w:szCs w:val="20"/>
                    </w:rPr>
                  </w:pPr>
                  <w:r>
                    <w:rPr>
                      <w:sz w:val="20"/>
                      <w:szCs w:val="20"/>
                    </w:rPr>
                    <w:t>Level</w:t>
                  </w:r>
                </w:p>
              </w:tc>
              <w:tc>
                <w:tcPr>
                  <w:tcW w:w="2165" w:type="dxa"/>
                </w:tcPr>
                <w:p w14:paraId="47655281" w14:textId="645DD583" w:rsidR="007A13D6" w:rsidRDefault="007A13D6" w:rsidP="007A13D6">
                  <w:pPr>
                    <w:spacing w:line="240" w:lineRule="auto"/>
                    <w:rPr>
                      <w:sz w:val="20"/>
                      <w:szCs w:val="20"/>
                    </w:rPr>
                  </w:pPr>
                  <w:r>
                    <w:rPr>
                      <w:sz w:val="20"/>
                      <w:szCs w:val="20"/>
                    </w:rPr>
                    <w:t>Non-Disadvantaged %</w:t>
                  </w:r>
                </w:p>
              </w:tc>
              <w:tc>
                <w:tcPr>
                  <w:tcW w:w="1938" w:type="dxa"/>
                </w:tcPr>
                <w:p w14:paraId="4D5B16A2" w14:textId="77777777" w:rsidR="007A13D6" w:rsidRDefault="007A13D6" w:rsidP="007A13D6">
                  <w:pPr>
                    <w:spacing w:line="240" w:lineRule="auto"/>
                    <w:rPr>
                      <w:sz w:val="20"/>
                      <w:szCs w:val="20"/>
                    </w:rPr>
                  </w:pPr>
                  <w:r>
                    <w:rPr>
                      <w:sz w:val="20"/>
                      <w:szCs w:val="20"/>
                    </w:rPr>
                    <w:t>Disadvantaged %</w:t>
                  </w:r>
                </w:p>
                <w:p w14:paraId="66B3D325" w14:textId="34386EFE" w:rsidR="007A13D6" w:rsidRDefault="007A13D6" w:rsidP="007A13D6">
                  <w:pPr>
                    <w:spacing w:line="240" w:lineRule="auto"/>
                    <w:rPr>
                      <w:sz w:val="20"/>
                      <w:szCs w:val="20"/>
                    </w:rPr>
                  </w:pPr>
                  <w:r>
                    <w:rPr>
                      <w:sz w:val="20"/>
                      <w:szCs w:val="20"/>
                    </w:rPr>
                    <w:t>14 children</w:t>
                  </w:r>
                </w:p>
              </w:tc>
              <w:tc>
                <w:tcPr>
                  <w:tcW w:w="1497" w:type="dxa"/>
                </w:tcPr>
                <w:p w14:paraId="306CCD8A" w14:textId="007C98E2" w:rsidR="007A13D6" w:rsidRDefault="007A13D6" w:rsidP="007A13D6">
                  <w:pPr>
                    <w:spacing w:line="240" w:lineRule="auto"/>
                    <w:rPr>
                      <w:sz w:val="20"/>
                      <w:szCs w:val="20"/>
                    </w:rPr>
                  </w:pPr>
                  <w:r>
                    <w:rPr>
                      <w:sz w:val="20"/>
                      <w:szCs w:val="20"/>
                    </w:rPr>
                    <w:t>Difference %</w:t>
                  </w:r>
                </w:p>
              </w:tc>
            </w:tr>
            <w:tr w:rsidR="007A13D6" w14:paraId="39C2137E" w14:textId="5915F2BC" w:rsidTr="007A13D6">
              <w:trPr>
                <w:trHeight w:val="301"/>
              </w:trPr>
              <w:tc>
                <w:tcPr>
                  <w:tcW w:w="1908" w:type="dxa"/>
                  <w:vMerge w:val="restart"/>
                </w:tcPr>
                <w:p w14:paraId="485EF092" w14:textId="0EAF40A4" w:rsidR="007A13D6" w:rsidRDefault="007A13D6" w:rsidP="007A13D6">
                  <w:pPr>
                    <w:spacing w:line="240" w:lineRule="auto"/>
                    <w:rPr>
                      <w:sz w:val="20"/>
                      <w:szCs w:val="20"/>
                    </w:rPr>
                  </w:pPr>
                  <w:r>
                    <w:rPr>
                      <w:sz w:val="20"/>
                      <w:szCs w:val="20"/>
                    </w:rPr>
                    <w:t>Reading</w:t>
                  </w:r>
                </w:p>
              </w:tc>
              <w:tc>
                <w:tcPr>
                  <w:tcW w:w="1759" w:type="dxa"/>
                </w:tcPr>
                <w:p w14:paraId="7D3FDC90" w14:textId="145C0C24" w:rsidR="007A13D6" w:rsidRDefault="007A13D6" w:rsidP="007A13D6">
                  <w:pPr>
                    <w:spacing w:line="240" w:lineRule="auto"/>
                    <w:rPr>
                      <w:sz w:val="20"/>
                      <w:szCs w:val="20"/>
                    </w:rPr>
                  </w:pPr>
                  <w:r>
                    <w:rPr>
                      <w:sz w:val="20"/>
                      <w:szCs w:val="20"/>
                    </w:rPr>
                    <w:t>WTS</w:t>
                  </w:r>
                </w:p>
              </w:tc>
              <w:tc>
                <w:tcPr>
                  <w:tcW w:w="2165" w:type="dxa"/>
                </w:tcPr>
                <w:p w14:paraId="15FD841D" w14:textId="7828587D" w:rsidR="007A13D6" w:rsidRDefault="007A13D6" w:rsidP="007A13D6">
                  <w:pPr>
                    <w:spacing w:line="240" w:lineRule="auto"/>
                    <w:rPr>
                      <w:sz w:val="20"/>
                      <w:szCs w:val="20"/>
                    </w:rPr>
                  </w:pPr>
                  <w:r>
                    <w:rPr>
                      <w:sz w:val="20"/>
                      <w:szCs w:val="20"/>
                    </w:rPr>
                    <w:t>18</w:t>
                  </w:r>
                </w:p>
              </w:tc>
              <w:tc>
                <w:tcPr>
                  <w:tcW w:w="1938" w:type="dxa"/>
                </w:tcPr>
                <w:p w14:paraId="0096427E" w14:textId="4515DE20" w:rsidR="007A13D6" w:rsidRDefault="007A13D6" w:rsidP="007A13D6">
                  <w:pPr>
                    <w:spacing w:line="240" w:lineRule="auto"/>
                    <w:rPr>
                      <w:sz w:val="20"/>
                      <w:szCs w:val="20"/>
                    </w:rPr>
                  </w:pPr>
                  <w:r>
                    <w:rPr>
                      <w:sz w:val="20"/>
                      <w:szCs w:val="20"/>
                    </w:rPr>
                    <w:t>28</w:t>
                  </w:r>
                </w:p>
              </w:tc>
              <w:tc>
                <w:tcPr>
                  <w:tcW w:w="1497" w:type="dxa"/>
                </w:tcPr>
                <w:p w14:paraId="3A0DFAB4" w14:textId="03092CAD" w:rsidR="007A13D6" w:rsidRDefault="007A13D6" w:rsidP="007A13D6">
                  <w:pPr>
                    <w:spacing w:line="240" w:lineRule="auto"/>
                    <w:rPr>
                      <w:sz w:val="20"/>
                      <w:szCs w:val="20"/>
                    </w:rPr>
                  </w:pPr>
                  <w:r>
                    <w:rPr>
                      <w:sz w:val="20"/>
                      <w:szCs w:val="20"/>
                    </w:rPr>
                    <w:t>-10</w:t>
                  </w:r>
                </w:p>
              </w:tc>
            </w:tr>
            <w:tr w:rsidR="007A13D6" w14:paraId="5AF24216" w14:textId="45578E27" w:rsidTr="007A13D6">
              <w:tc>
                <w:tcPr>
                  <w:tcW w:w="1908" w:type="dxa"/>
                  <w:vMerge/>
                </w:tcPr>
                <w:p w14:paraId="6572A323" w14:textId="3574DA7C" w:rsidR="007A13D6" w:rsidRDefault="007A13D6" w:rsidP="007A13D6">
                  <w:pPr>
                    <w:spacing w:line="240" w:lineRule="auto"/>
                    <w:rPr>
                      <w:sz w:val="20"/>
                      <w:szCs w:val="20"/>
                    </w:rPr>
                  </w:pPr>
                </w:p>
              </w:tc>
              <w:tc>
                <w:tcPr>
                  <w:tcW w:w="1759" w:type="dxa"/>
                </w:tcPr>
                <w:p w14:paraId="79E951CC" w14:textId="17DC033F" w:rsidR="007A13D6" w:rsidRDefault="007A13D6" w:rsidP="007A13D6">
                  <w:pPr>
                    <w:spacing w:line="240" w:lineRule="auto"/>
                    <w:rPr>
                      <w:sz w:val="20"/>
                      <w:szCs w:val="20"/>
                    </w:rPr>
                  </w:pPr>
                  <w:r>
                    <w:rPr>
                      <w:sz w:val="20"/>
                      <w:szCs w:val="20"/>
                    </w:rPr>
                    <w:t>EXS</w:t>
                  </w:r>
                </w:p>
              </w:tc>
              <w:tc>
                <w:tcPr>
                  <w:tcW w:w="2165" w:type="dxa"/>
                </w:tcPr>
                <w:p w14:paraId="06F40862" w14:textId="71CAD9F5" w:rsidR="007A13D6" w:rsidRDefault="007A13D6" w:rsidP="007A13D6">
                  <w:pPr>
                    <w:spacing w:line="240" w:lineRule="auto"/>
                    <w:rPr>
                      <w:sz w:val="20"/>
                      <w:szCs w:val="20"/>
                    </w:rPr>
                  </w:pPr>
                  <w:r>
                    <w:rPr>
                      <w:sz w:val="20"/>
                      <w:szCs w:val="20"/>
                    </w:rPr>
                    <w:t>44</w:t>
                  </w:r>
                </w:p>
              </w:tc>
              <w:tc>
                <w:tcPr>
                  <w:tcW w:w="1938" w:type="dxa"/>
                </w:tcPr>
                <w:p w14:paraId="49E56A77" w14:textId="116504F2" w:rsidR="007A13D6" w:rsidRDefault="007A13D6" w:rsidP="007A13D6">
                  <w:pPr>
                    <w:spacing w:line="240" w:lineRule="auto"/>
                    <w:rPr>
                      <w:sz w:val="20"/>
                      <w:szCs w:val="20"/>
                    </w:rPr>
                  </w:pPr>
                  <w:r>
                    <w:rPr>
                      <w:sz w:val="20"/>
                      <w:szCs w:val="20"/>
                    </w:rPr>
                    <w:t>50</w:t>
                  </w:r>
                </w:p>
              </w:tc>
              <w:tc>
                <w:tcPr>
                  <w:tcW w:w="1497" w:type="dxa"/>
                  <w:vMerge w:val="restart"/>
                </w:tcPr>
                <w:p w14:paraId="4AF541F0" w14:textId="77777777" w:rsidR="007A13D6" w:rsidRDefault="007A13D6" w:rsidP="007A13D6">
                  <w:pPr>
                    <w:spacing w:line="240" w:lineRule="auto"/>
                    <w:rPr>
                      <w:sz w:val="20"/>
                      <w:szCs w:val="20"/>
                    </w:rPr>
                  </w:pPr>
                </w:p>
              </w:tc>
            </w:tr>
            <w:tr w:rsidR="007A13D6" w14:paraId="0D73B1C0" w14:textId="3DEF70E0" w:rsidTr="007A13D6">
              <w:tc>
                <w:tcPr>
                  <w:tcW w:w="1908" w:type="dxa"/>
                  <w:vMerge/>
                </w:tcPr>
                <w:p w14:paraId="1ADE1F76" w14:textId="77777777" w:rsidR="007A13D6" w:rsidRDefault="007A13D6" w:rsidP="007A13D6">
                  <w:pPr>
                    <w:spacing w:line="240" w:lineRule="auto"/>
                    <w:rPr>
                      <w:sz w:val="20"/>
                      <w:szCs w:val="20"/>
                    </w:rPr>
                  </w:pPr>
                </w:p>
              </w:tc>
              <w:tc>
                <w:tcPr>
                  <w:tcW w:w="1759" w:type="dxa"/>
                </w:tcPr>
                <w:p w14:paraId="5669A0B2" w14:textId="384FF57F" w:rsidR="007A13D6" w:rsidRDefault="007A13D6" w:rsidP="007A13D6">
                  <w:pPr>
                    <w:spacing w:line="240" w:lineRule="auto"/>
                    <w:rPr>
                      <w:sz w:val="20"/>
                      <w:szCs w:val="20"/>
                    </w:rPr>
                  </w:pPr>
                  <w:r>
                    <w:rPr>
                      <w:sz w:val="20"/>
                      <w:szCs w:val="20"/>
                    </w:rPr>
                    <w:t>GDS</w:t>
                  </w:r>
                </w:p>
              </w:tc>
              <w:tc>
                <w:tcPr>
                  <w:tcW w:w="2165" w:type="dxa"/>
                </w:tcPr>
                <w:p w14:paraId="2D46BAA9" w14:textId="5D99CCA7" w:rsidR="007A13D6" w:rsidRDefault="007A13D6" w:rsidP="007A13D6">
                  <w:pPr>
                    <w:spacing w:line="240" w:lineRule="auto"/>
                    <w:rPr>
                      <w:sz w:val="20"/>
                      <w:szCs w:val="20"/>
                    </w:rPr>
                  </w:pPr>
                  <w:r>
                    <w:rPr>
                      <w:sz w:val="20"/>
                      <w:szCs w:val="20"/>
                    </w:rPr>
                    <w:t>38</w:t>
                  </w:r>
                </w:p>
              </w:tc>
              <w:tc>
                <w:tcPr>
                  <w:tcW w:w="1938" w:type="dxa"/>
                </w:tcPr>
                <w:p w14:paraId="7C568F55" w14:textId="77863C00" w:rsidR="007A13D6" w:rsidRDefault="007A13D6" w:rsidP="007A13D6">
                  <w:pPr>
                    <w:spacing w:line="240" w:lineRule="auto"/>
                    <w:rPr>
                      <w:sz w:val="20"/>
                      <w:szCs w:val="20"/>
                    </w:rPr>
                  </w:pPr>
                  <w:r>
                    <w:rPr>
                      <w:sz w:val="20"/>
                      <w:szCs w:val="20"/>
                    </w:rPr>
                    <w:t>21</w:t>
                  </w:r>
                </w:p>
              </w:tc>
              <w:tc>
                <w:tcPr>
                  <w:tcW w:w="1497" w:type="dxa"/>
                  <w:vMerge/>
                </w:tcPr>
                <w:p w14:paraId="25CA0F4D" w14:textId="77777777" w:rsidR="007A13D6" w:rsidRDefault="007A13D6" w:rsidP="007A13D6">
                  <w:pPr>
                    <w:spacing w:line="240" w:lineRule="auto"/>
                    <w:rPr>
                      <w:sz w:val="20"/>
                      <w:szCs w:val="20"/>
                    </w:rPr>
                  </w:pPr>
                </w:p>
              </w:tc>
            </w:tr>
            <w:tr w:rsidR="007A13D6" w14:paraId="2A2D2444" w14:textId="53B9D337" w:rsidTr="007A13D6">
              <w:tc>
                <w:tcPr>
                  <w:tcW w:w="1908" w:type="dxa"/>
                  <w:vMerge w:val="restart"/>
                </w:tcPr>
                <w:p w14:paraId="2A76C9C0" w14:textId="7574B939" w:rsidR="007A13D6" w:rsidRDefault="007A13D6" w:rsidP="007A13D6">
                  <w:pPr>
                    <w:spacing w:line="240" w:lineRule="auto"/>
                    <w:rPr>
                      <w:sz w:val="20"/>
                      <w:szCs w:val="20"/>
                    </w:rPr>
                  </w:pPr>
                  <w:r>
                    <w:rPr>
                      <w:sz w:val="20"/>
                      <w:szCs w:val="20"/>
                    </w:rPr>
                    <w:t>Writing</w:t>
                  </w:r>
                </w:p>
              </w:tc>
              <w:tc>
                <w:tcPr>
                  <w:tcW w:w="1759" w:type="dxa"/>
                </w:tcPr>
                <w:p w14:paraId="2A268AAA" w14:textId="2EC147E7" w:rsidR="007A13D6" w:rsidRDefault="007A13D6" w:rsidP="007A13D6">
                  <w:pPr>
                    <w:spacing w:line="240" w:lineRule="auto"/>
                    <w:rPr>
                      <w:sz w:val="20"/>
                      <w:szCs w:val="20"/>
                    </w:rPr>
                  </w:pPr>
                  <w:r>
                    <w:rPr>
                      <w:sz w:val="20"/>
                      <w:szCs w:val="20"/>
                    </w:rPr>
                    <w:t>WTS</w:t>
                  </w:r>
                </w:p>
              </w:tc>
              <w:tc>
                <w:tcPr>
                  <w:tcW w:w="2165" w:type="dxa"/>
                </w:tcPr>
                <w:p w14:paraId="23A27347" w14:textId="58204F20" w:rsidR="007A13D6" w:rsidRDefault="007A13D6" w:rsidP="007A13D6">
                  <w:pPr>
                    <w:spacing w:line="240" w:lineRule="auto"/>
                    <w:rPr>
                      <w:sz w:val="20"/>
                      <w:szCs w:val="20"/>
                    </w:rPr>
                  </w:pPr>
                  <w:r>
                    <w:rPr>
                      <w:sz w:val="20"/>
                      <w:szCs w:val="20"/>
                    </w:rPr>
                    <w:t>29</w:t>
                  </w:r>
                </w:p>
              </w:tc>
              <w:tc>
                <w:tcPr>
                  <w:tcW w:w="1938" w:type="dxa"/>
                </w:tcPr>
                <w:p w14:paraId="7C0CC96A" w14:textId="1059DCDA" w:rsidR="007A13D6" w:rsidRDefault="007A13D6" w:rsidP="007A13D6">
                  <w:pPr>
                    <w:spacing w:line="240" w:lineRule="auto"/>
                    <w:rPr>
                      <w:sz w:val="20"/>
                      <w:szCs w:val="20"/>
                    </w:rPr>
                  </w:pPr>
                  <w:r>
                    <w:rPr>
                      <w:sz w:val="20"/>
                      <w:szCs w:val="20"/>
                    </w:rPr>
                    <w:t>64</w:t>
                  </w:r>
                </w:p>
              </w:tc>
              <w:tc>
                <w:tcPr>
                  <w:tcW w:w="1497" w:type="dxa"/>
                </w:tcPr>
                <w:p w14:paraId="1AE8C172" w14:textId="24EE18E8" w:rsidR="007A13D6" w:rsidRDefault="007A13D6" w:rsidP="007A13D6">
                  <w:pPr>
                    <w:spacing w:line="240" w:lineRule="auto"/>
                    <w:rPr>
                      <w:sz w:val="20"/>
                      <w:szCs w:val="20"/>
                    </w:rPr>
                  </w:pPr>
                  <w:r>
                    <w:rPr>
                      <w:sz w:val="20"/>
                      <w:szCs w:val="20"/>
                    </w:rPr>
                    <w:t>-35</w:t>
                  </w:r>
                </w:p>
              </w:tc>
            </w:tr>
            <w:tr w:rsidR="007A13D6" w14:paraId="2BBB158D" w14:textId="6E51EB6F" w:rsidTr="007A13D6">
              <w:tc>
                <w:tcPr>
                  <w:tcW w:w="1908" w:type="dxa"/>
                  <w:vMerge/>
                </w:tcPr>
                <w:p w14:paraId="20D50465" w14:textId="77777777" w:rsidR="007A13D6" w:rsidRDefault="007A13D6" w:rsidP="007A13D6">
                  <w:pPr>
                    <w:spacing w:line="240" w:lineRule="auto"/>
                    <w:rPr>
                      <w:sz w:val="20"/>
                      <w:szCs w:val="20"/>
                    </w:rPr>
                  </w:pPr>
                </w:p>
              </w:tc>
              <w:tc>
                <w:tcPr>
                  <w:tcW w:w="1759" w:type="dxa"/>
                </w:tcPr>
                <w:p w14:paraId="2716594E" w14:textId="47F02B61" w:rsidR="007A13D6" w:rsidRDefault="007A13D6" w:rsidP="007A13D6">
                  <w:pPr>
                    <w:spacing w:line="240" w:lineRule="auto"/>
                    <w:rPr>
                      <w:sz w:val="20"/>
                      <w:szCs w:val="20"/>
                    </w:rPr>
                  </w:pPr>
                  <w:r>
                    <w:rPr>
                      <w:sz w:val="20"/>
                      <w:szCs w:val="20"/>
                    </w:rPr>
                    <w:t>EXS</w:t>
                  </w:r>
                </w:p>
              </w:tc>
              <w:tc>
                <w:tcPr>
                  <w:tcW w:w="2165" w:type="dxa"/>
                </w:tcPr>
                <w:p w14:paraId="1F6CCB2C" w14:textId="0D65CB82" w:rsidR="007A13D6" w:rsidRDefault="007A13D6" w:rsidP="007A13D6">
                  <w:pPr>
                    <w:spacing w:line="240" w:lineRule="auto"/>
                    <w:rPr>
                      <w:sz w:val="20"/>
                      <w:szCs w:val="20"/>
                    </w:rPr>
                  </w:pPr>
                  <w:r>
                    <w:rPr>
                      <w:sz w:val="20"/>
                      <w:szCs w:val="20"/>
                    </w:rPr>
                    <w:t>68</w:t>
                  </w:r>
                </w:p>
              </w:tc>
              <w:tc>
                <w:tcPr>
                  <w:tcW w:w="1938" w:type="dxa"/>
                </w:tcPr>
                <w:p w14:paraId="0AACADEF" w14:textId="09FF699B" w:rsidR="007A13D6" w:rsidRDefault="007A13D6" w:rsidP="007A13D6">
                  <w:pPr>
                    <w:spacing w:line="240" w:lineRule="auto"/>
                    <w:rPr>
                      <w:sz w:val="20"/>
                      <w:szCs w:val="20"/>
                    </w:rPr>
                  </w:pPr>
                  <w:r>
                    <w:rPr>
                      <w:sz w:val="20"/>
                      <w:szCs w:val="20"/>
                    </w:rPr>
                    <w:t>36</w:t>
                  </w:r>
                </w:p>
              </w:tc>
              <w:tc>
                <w:tcPr>
                  <w:tcW w:w="1497" w:type="dxa"/>
                  <w:vMerge w:val="restart"/>
                </w:tcPr>
                <w:p w14:paraId="57C1E3EE" w14:textId="77777777" w:rsidR="007A13D6" w:rsidRDefault="007A13D6" w:rsidP="007A13D6">
                  <w:pPr>
                    <w:spacing w:line="240" w:lineRule="auto"/>
                    <w:rPr>
                      <w:sz w:val="20"/>
                      <w:szCs w:val="20"/>
                    </w:rPr>
                  </w:pPr>
                </w:p>
              </w:tc>
            </w:tr>
            <w:tr w:rsidR="007A13D6" w14:paraId="03F9D5A6" w14:textId="4451FCCC" w:rsidTr="007A13D6">
              <w:tc>
                <w:tcPr>
                  <w:tcW w:w="1908" w:type="dxa"/>
                  <w:vMerge/>
                </w:tcPr>
                <w:p w14:paraId="43368F66" w14:textId="77777777" w:rsidR="007A13D6" w:rsidRDefault="007A13D6" w:rsidP="007A13D6">
                  <w:pPr>
                    <w:spacing w:line="240" w:lineRule="auto"/>
                    <w:rPr>
                      <w:sz w:val="20"/>
                      <w:szCs w:val="20"/>
                    </w:rPr>
                  </w:pPr>
                </w:p>
              </w:tc>
              <w:tc>
                <w:tcPr>
                  <w:tcW w:w="1759" w:type="dxa"/>
                </w:tcPr>
                <w:p w14:paraId="1F281958" w14:textId="63BD067F" w:rsidR="007A13D6" w:rsidRDefault="007A13D6" w:rsidP="007A13D6">
                  <w:pPr>
                    <w:spacing w:line="240" w:lineRule="auto"/>
                    <w:rPr>
                      <w:sz w:val="20"/>
                      <w:szCs w:val="20"/>
                    </w:rPr>
                  </w:pPr>
                  <w:r>
                    <w:rPr>
                      <w:sz w:val="20"/>
                      <w:szCs w:val="20"/>
                    </w:rPr>
                    <w:t>GDS</w:t>
                  </w:r>
                </w:p>
              </w:tc>
              <w:tc>
                <w:tcPr>
                  <w:tcW w:w="2165" w:type="dxa"/>
                </w:tcPr>
                <w:p w14:paraId="6060FDEA" w14:textId="153CE8E9" w:rsidR="007A13D6" w:rsidRDefault="007A13D6" w:rsidP="007A13D6">
                  <w:pPr>
                    <w:spacing w:line="240" w:lineRule="auto"/>
                    <w:rPr>
                      <w:sz w:val="20"/>
                      <w:szCs w:val="20"/>
                    </w:rPr>
                  </w:pPr>
                  <w:r>
                    <w:rPr>
                      <w:sz w:val="20"/>
                      <w:szCs w:val="20"/>
                    </w:rPr>
                    <w:t>1</w:t>
                  </w:r>
                </w:p>
              </w:tc>
              <w:tc>
                <w:tcPr>
                  <w:tcW w:w="1938" w:type="dxa"/>
                </w:tcPr>
                <w:p w14:paraId="226324B4" w14:textId="26831BED" w:rsidR="007A13D6" w:rsidRDefault="007A13D6" w:rsidP="007A13D6">
                  <w:pPr>
                    <w:spacing w:line="240" w:lineRule="auto"/>
                    <w:rPr>
                      <w:sz w:val="20"/>
                      <w:szCs w:val="20"/>
                    </w:rPr>
                  </w:pPr>
                  <w:r>
                    <w:rPr>
                      <w:sz w:val="20"/>
                      <w:szCs w:val="20"/>
                    </w:rPr>
                    <w:t>0</w:t>
                  </w:r>
                </w:p>
              </w:tc>
              <w:tc>
                <w:tcPr>
                  <w:tcW w:w="1497" w:type="dxa"/>
                  <w:vMerge/>
                </w:tcPr>
                <w:p w14:paraId="185C0810" w14:textId="77777777" w:rsidR="007A13D6" w:rsidRDefault="007A13D6" w:rsidP="007A13D6">
                  <w:pPr>
                    <w:spacing w:line="240" w:lineRule="auto"/>
                    <w:rPr>
                      <w:sz w:val="20"/>
                      <w:szCs w:val="20"/>
                    </w:rPr>
                  </w:pPr>
                </w:p>
              </w:tc>
            </w:tr>
            <w:tr w:rsidR="007A13D6" w14:paraId="423AC2B7" w14:textId="1DADFB26" w:rsidTr="007A13D6">
              <w:tc>
                <w:tcPr>
                  <w:tcW w:w="1908" w:type="dxa"/>
                  <w:vMerge w:val="restart"/>
                </w:tcPr>
                <w:p w14:paraId="2285FA67" w14:textId="3EDF19C6" w:rsidR="007A13D6" w:rsidRDefault="007A13D6" w:rsidP="007A13D6">
                  <w:pPr>
                    <w:spacing w:line="240" w:lineRule="auto"/>
                    <w:rPr>
                      <w:sz w:val="20"/>
                      <w:szCs w:val="20"/>
                    </w:rPr>
                  </w:pPr>
                  <w:r>
                    <w:rPr>
                      <w:sz w:val="20"/>
                      <w:szCs w:val="20"/>
                    </w:rPr>
                    <w:t>Maths</w:t>
                  </w:r>
                </w:p>
              </w:tc>
              <w:tc>
                <w:tcPr>
                  <w:tcW w:w="1759" w:type="dxa"/>
                </w:tcPr>
                <w:p w14:paraId="08E404A2" w14:textId="2E06FD00" w:rsidR="007A13D6" w:rsidRDefault="007A13D6" w:rsidP="007A13D6">
                  <w:pPr>
                    <w:spacing w:line="240" w:lineRule="auto"/>
                    <w:rPr>
                      <w:sz w:val="20"/>
                      <w:szCs w:val="20"/>
                    </w:rPr>
                  </w:pPr>
                  <w:r>
                    <w:rPr>
                      <w:sz w:val="20"/>
                      <w:szCs w:val="20"/>
                    </w:rPr>
                    <w:t>WTS</w:t>
                  </w:r>
                </w:p>
              </w:tc>
              <w:tc>
                <w:tcPr>
                  <w:tcW w:w="2165" w:type="dxa"/>
                </w:tcPr>
                <w:p w14:paraId="2E926BB5" w14:textId="49DA9A33" w:rsidR="007A13D6" w:rsidRDefault="007A13D6" w:rsidP="007A13D6">
                  <w:pPr>
                    <w:spacing w:line="240" w:lineRule="auto"/>
                    <w:rPr>
                      <w:sz w:val="20"/>
                      <w:szCs w:val="20"/>
                    </w:rPr>
                  </w:pPr>
                  <w:r>
                    <w:rPr>
                      <w:sz w:val="20"/>
                      <w:szCs w:val="20"/>
                    </w:rPr>
                    <w:t>16</w:t>
                  </w:r>
                </w:p>
              </w:tc>
              <w:tc>
                <w:tcPr>
                  <w:tcW w:w="1938" w:type="dxa"/>
                </w:tcPr>
                <w:p w14:paraId="6C28982F" w14:textId="5622285A" w:rsidR="007A13D6" w:rsidRDefault="007A13D6" w:rsidP="007A13D6">
                  <w:pPr>
                    <w:spacing w:line="240" w:lineRule="auto"/>
                    <w:rPr>
                      <w:sz w:val="20"/>
                      <w:szCs w:val="20"/>
                    </w:rPr>
                  </w:pPr>
                  <w:r>
                    <w:rPr>
                      <w:sz w:val="20"/>
                      <w:szCs w:val="20"/>
                    </w:rPr>
                    <w:t>72</w:t>
                  </w:r>
                </w:p>
              </w:tc>
              <w:tc>
                <w:tcPr>
                  <w:tcW w:w="1497" w:type="dxa"/>
                </w:tcPr>
                <w:p w14:paraId="36889029" w14:textId="443518B2" w:rsidR="007A13D6" w:rsidRDefault="007A13D6" w:rsidP="007A13D6">
                  <w:pPr>
                    <w:spacing w:line="240" w:lineRule="auto"/>
                    <w:rPr>
                      <w:sz w:val="20"/>
                      <w:szCs w:val="20"/>
                    </w:rPr>
                  </w:pPr>
                  <w:r>
                    <w:rPr>
                      <w:sz w:val="20"/>
                      <w:szCs w:val="20"/>
                    </w:rPr>
                    <w:t>-56</w:t>
                  </w:r>
                </w:p>
              </w:tc>
            </w:tr>
            <w:tr w:rsidR="007A13D6" w14:paraId="6602E616" w14:textId="300F46F1" w:rsidTr="007A13D6">
              <w:tc>
                <w:tcPr>
                  <w:tcW w:w="1908" w:type="dxa"/>
                  <w:vMerge/>
                </w:tcPr>
                <w:p w14:paraId="6F0EA30B" w14:textId="77777777" w:rsidR="007A13D6" w:rsidRDefault="007A13D6" w:rsidP="007A13D6">
                  <w:pPr>
                    <w:spacing w:line="240" w:lineRule="auto"/>
                    <w:rPr>
                      <w:sz w:val="20"/>
                      <w:szCs w:val="20"/>
                    </w:rPr>
                  </w:pPr>
                </w:p>
              </w:tc>
              <w:tc>
                <w:tcPr>
                  <w:tcW w:w="1759" w:type="dxa"/>
                </w:tcPr>
                <w:p w14:paraId="1F91C91F" w14:textId="5D24C54F" w:rsidR="007A13D6" w:rsidRDefault="007A13D6" w:rsidP="007A13D6">
                  <w:pPr>
                    <w:spacing w:line="240" w:lineRule="auto"/>
                    <w:rPr>
                      <w:sz w:val="20"/>
                      <w:szCs w:val="20"/>
                    </w:rPr>
                  </w:pPr>
                  <w:r>
                    <w:rPr>
                      <w:sz w:val="20"/>
                      <w:szCs w:val="20"/>
                    </w:rPr>
                    <w:t>EXS</w:t>
                  </w:r>
                </w:p>
              </w:tc>
              <w:tc>
                <w:tcPr>
                  <w:tcW w:w="2165" w:type="dxa"/>
                </w:tcPr>
                <w:p w14:paraId="36DD61EF" w14:textId="42FFF309" w:rsidR="007A13D6" w:rsidRDefault="007A13D6" w:rsidP="007A13D6">
                  <w:pPr>
                    <w:spacing w:line="240" w:lineRule="auto"/>
                    <w:rPr>
                      <w:sz w:val="20"/>
                      <w:szCs w:val="20"/>
                    </w:rPr>
                  </w:pPr>
                  <w:r>
                    <w:rPr>
                      <w:sz w:val="20"/>
                      <w:szCs w:val="20"/>
                    </w:rPr>
                    <w:t>51</w:t>
                  </w:r>
                </w:p>
              </w:tc>
              <w:tc>
                <w:tcPr>
                  <w:tcW w:w="1938" w:type="dxa"/>
                </w:tcPr>
                <w:p w14:paraId="36DC6F55" w14:textId="0C2C26D1" w:rsidR="007A13D6" w:rsidRDefault="007A13D6" w:rsidP="007A13D6">
                  <w:pPr>
                    <w:spacing w:line="240" w:lineRule="auto"/>
                    <w:rPr>
                      <w:sz w:val="20"/>
                      <w:szCs w:val="20"/>
                    </w:rPr>
                  </w:pPr>
                  <w:r>
                    <w:rPr>
                      <w:sz w:val="20"/>
                      <w:szCs w:val="20"/>
                    </w:rPr>
                    <w:t>14</w:t>
                  </w:r>
                </w:p>
              </w:tc>
              <w:tc>
                <w:tcPr>
                  <w:tcW w:w="1497" w:type="dxa"/>
                  <w:vMerge w:val="restart"/>
                </w:tcPr>
                <w:p w14:paraId="5521616B" w14:textId="77777777" w:rsidR="007A13D6" w:rsidRDefault="007A13D6" w:rsidP="007A13D6">
                  <w:pPr>
                    <w:spacing w:line="240" w:lineRule="auto"/>
                    <w:rPr>
                      <w:sz w:val="20"/>
                      <w:szCs w:val="20"/>
                    </w:rPr>
                  </w:pPr>
                </w:p>
              </w:tc>
            </w:tr>
            <w:tr w:rsidR="007A13D6" w14:paraId="42F72BBD" w14:textId="7CA325DA" w:rsidTr="007A13D6">
              <w:trPr>
                <w:trHeight w:val="250"/>
              </w:trPr>
              <w:tc>
                <w:tcPr>
                  <w:tcW w:w="1908" w:type="dxa"/>
                  <w:vMerge/>
                </w:tcPr>
                <w:p w14:paraId="1841D926" w14:textId="77777777" w:rsidR="007A13D6" w:rsidRDefault="007A13D6" w:rsidP="007A13D6">
                  <w:pPr>
                    <w:spacing w:line="240" w:lineRule="auto"/>
                    <w:rPr>
                      <w:sz w:val="20"/>
                      <w:szCs w:val="20"/>
                    </w:rPr>
                  </w:pPr>
                </w:p>
              </w:tc>
              <w:tc>
                <w:tcPr>
                  <w:tcW w:w="1759" w:type="dxa"/>
                </w:tcPr>
                <w:p w14:paraId="313443A6" w14:textId="66B25F82" w:rsidR="007A13D6" w:rsidRDefault="007A13D6" w:rsidP="007A13D6">
                  <w:pPr>
                    <w:spacing w:line="240" w:lineRule="auto"/>
                    <w:rPr>
                      <w:sz w:val="20"/>
                      <w:szCs w:val="20"/>
                    </w:rPr>
                  </w:pPr>
                  <w:r>
                    <w:rPr>
                      <w:sz w:val="20"/>
                      <w:szCs w:val="20"/>
                    </w:rPr>
                    <w:t>GDS</w:t>
                  </w:r>
                </w:p>
              </w:tc>
              <w:tc>
                <w:tcPr>
                  <w:tcW w:w="2165" w:type="dxa"/>
                </w:tcPr>
                <w:p w14:paraId="3D13FDAA" w14:textId="693C74F0" w:rsidR="007A13D6" w:rsidRDefault="007A13D6" w:rsidP="007A13D6">
                  <w:pPr>
                    <w:spacing w:line="240" w:lineRule="auto"/>
                    <w:rPr>
                      <w:sz w:val="20"/>
                      <w:szCs w:val="20"/>
                    </w:rPr>
                  </w:pPr>
                  <w:r>
                    <w:rPr>
                      <w:sz w:val="20"/>
                      <w:szCs w:val="20"/>
                    </w:rPr>
                    <w:t>31</w:t>
                  </w:r>
                </w:p>
              </w:tc>
              <w:tc>
                <w:tcPr>
                  <w:tcW w:w="1938" w:type="dxa"/>
                </w:tcPr>
                <w:p w14:paraId="5F7F2361" w14:textId="0436A098" w:rsidR="007A13D6" w:rsidRDefault="007A13D6" w:rsidP="007A13D6">
                  <w:pPr>
                    <w:spacing w:line="240" w:lineRule="auto"/>
                    <w:rPr>
                      <w:sz w:val="20"/>
                      <w:szCs w:val="20"/>
                    </w:rPr>
                  </w:pPr>
                  <w:r>
                    <w:rPr>
                      <w:sz w:val="20"/>
                      <w:szCs w:val="20"/>
                    </w:rPr>
                    <w:t>14</w:t>
                  </w:r>
                </w:p>
              </w:tc>
              <w:tc>
                <w:tcPr>
                  <w:tcW w:w="1497" w:type="dxa"/>
                  <w:vMerge/>
                </w:tcPr>
                <w:p w14:paraId="19F01030" w14:textId="77777777" w:rsidR="007A13D6" w:rsidRDefault="007A13D6" w:rsidP="007A13D6">
                  <w:pPr>
                    <w:spacing w:line="240" w:lineRule="auto"/>
                    <w:rPr>
                      <w:sz w:val="20"/>
                      <w:szCs w:val="20"/>
                    </w:rPr>
                  </w:pPr>
                </w:p>
              </w:tc>
            </w:tr>
          </w:tbl>
          <w:p w14:paraId="47AA3232" w14:textId="49FFBA4E" w:rsidR="007A13D6" w:rsidRDefault="007A13D6" w:rsidP="008A524B">
            <w:pPr>
              <w:rPr>
                <w:sz w:val="20"/>
                <w:szCs w:val="20"/>
              </w:rPr>
            </w:pPr>
          </w:p>
          <w:p w14:paraId="729B1C8C" w14:textId="2FF0B4AC" w:rsidR="007A13D6" w:rsidRDefault="007A13D6" w:rsidP="008A524B">
            <w:pPr>
              <w:rPr>
                <w:sz w:val="20"/>
                <w:szCs w:val="20"/>
              </w:rPr>
            </w:pPr>
            <w:r>
              <w:rPr>
                <w:sz w:val="20"/>
                <w:szCs w:val="20"/>
              </w:rPr>
              <w:t>2022/23 data:</w:t>
            </w:r>
          </w:p>
          <w:tbl>
            <w:tblPr>
              <w:tblStyle w:val="TableGrid"/>
              <w:tblW w:w="0" w:type="auto"/>
              <w:tblLook w:val="04A0" w:firstRow="1" w:lastRow="0" w:firstColumn="1" w:lastColumn="0" w:noHBand="0" w:noVBand="1"/>
            </w:tblPr>
            <w:tblGrid>
              <w:gridCol w:w="1908"/>
              <w:gridCol w:w="1759"/>
              <w:gridCol w:w="2165"/>
              <w:gridCol w:w="1938"/>
              <w:gridCol w:w="1497"/>
            </w:tblGrid>
            <w:tr w:rsidR="00CB7955" w14:paraId="7806CA93" w14:textId="2E03565F" w:rsidTr="00CB7955">
              <w:tc>
                <w:tcPr>
                  <w:tcW w:w="1908" w:type="dxa"/>
                  <w:shd w:val="clear" w:color="auto" w:fill="auto"/>
                </w:tcPr>
                <w:p w14:paraId="2663FEBD" w14:textId="77777777" w:rsidR="00CB7955" w:rsidRDefault="00CB7955" w:rsidP="007A13D6">
                  <w:pPr>
                    <w:spacing w:line="240" w:lineRule="auto"/>
                    <w:rPr>
                      <w:sz w:val="20"/>
                      <w:szCs w:val="20"/>
                    </w:rPr>
                  </w:pPr>
                  <w:r>
                    <w:rPr>
                      <w:sz w:val="20"/>
                      <w:szCs w:val="20"/>
                    </w:rPr>
                    <w:t>Subject</w:t>
                  </w:r>
                </w:p>
              </w:tc>
              <w:tc>
                <w:tcPr>
                  <w:tcW w:w="1759" w:type="dxa"/>
                  <w:shd w:val="clear" w:color="auto" w:fill="auto"/>
                </w:tcPr>
                <w:p w14:paraId="653065FC" w14:textId="77777777" w:rsidR="00CB7955" w:rsidRDefault="00CB7955" w:rsidP="007A13D6">
                  <w:pPr>
                    <w:spacing w:line="240" w:lineRule="auto"/>
                    <w:rPr>
                      <w:sz w:val="20"/>
                      <w:szCs w:val="20"/>
                    </w:rPr>
                  </w:pPr>
                  <w:r>
                    <w:rPr>
                      <w:sz w:val="20"/>
                      <w:szCs w:val="20"/>
                    </w:rPr>
                    <w:t>Level</w:t>
                  </w:r>
                </w:p>
              </w:tc>
              <w:tc>
                <w:tcPr>
                  <w:tcW w:w="2165" w:type="dxa"/>
                  <w:shd w:val="clear" w:color="auto" w:fill="auto"/>
                </w:tcPr>
                <w:p w14:paraId="0CC55FC6" w14:textId="58D391B7" w:rsidR="00CB7955" w:rsidRDefault="00CB7955" w:rsidP="007A13D6">
                  <w:pPr>
                    <w:spacing w:line="240" w:lineRule="auto"/>
                    <w:rPr>
                      <w:sz w:val="20"/>
                      <w:szCs w:val="20"/>
                    </w:rPr>
                  </w:pPr>
                  <w:r>
                    <w:rPr>
                      <w:sz w:val="20"/>
                      <w:szCs w:val="20"/>
                    </w:rPr>
                    <w:t>Non-Disadvantaged %</w:t>
                  </w:r>
                </w:p>
              </w:tc>
              <w:tc>
                <w:tcPr>
                  <w:tcW w:w="1938" w:type="dxa"/>
                  <w:shd w:val="clear" w:color="auto" w:fill="auto"/>
                </w:tcPr>
                <w:p w14:paraId="0AF7DFA3" w14:textId="77777777" w:rsidR="00CB7955" w:rsidRDefault="00CB7955" w:rsidP="007A13D6">
                  <w:pPr>
                    <w:spacing w:line="240" w:lineRule="auto"/>
                    <w:rPr>
                      <w:sz w:val="20"/>
                      <w:szCs w:val="20"/>
                    </w:rPr>
                  </w:pPr>
                  <w:r>
                    <w:rPr>
                      <w:sz w:val="20"/>
                      <w:szCs w:val="20"/>
                    </w:rPr>
                    <w:t>Disadvantaged %</w:t>
                  </w:r>
                </w:p>
                <w:p w14:paraId="624B263D" w14:textId="77777777" w:rsidR="00CB7955" w:rsidRDefault="00CB7955" w:rsidP="007A13D6">
                  <w:pPr>
                    <w:spacing w:line="240" w:lineRule="auto"/>
                    <w:rPr>
                      <w:sz w:val="20"/>
                      <w:szCs w:val="20"/>
                    </w:rPr>
                  </w:pPr>
                  <w:r>
                    <w:rPr>
                      <w:sz w:val="20"/>
                      <w:szCs w:val="20"/>
                    </w:rPr>
                    <w:t>14 children</w:t>
                  </w:r>
                </w:p>
              </w:tc>
              <w:tc>
                <w:tcPr>
                  <w:tcW w:w="1497" w:type="dxa"/>
                </w:tcPr>
                <w:p w14:paraId="51153867" w14:textId="18D14B77" w:rsidR="00CB7955" w:rsidRDefault="00CB7955" w:rsidP="007A13D6">
                  <w:pPr>
                    <w:spacing w:line="240" w:lineRule="auto"/>
                    <w:rPr>
                      <w:sz w:val="20"/>
                      <w:szCs w:val="20"/>
                    </w:rPr>
                  </w:pPr>
                  <w:r>
                    <w:rPr>
                      <w:sz w:val="20"/>
                      <w:szCs w:val="20"/>
                    </w:rPr>
                    <w:t>Difference %</w:t>
                  </w:r>
                </w:p>
              </w:tc>
            </w:tr>
            <w:tr w:rsidR="00CB7955" w14:paraId="452C29FC" w14:textId="3621A29B" w:rsidTr="00CB7955">
              <w:tc>
                <w:tcPr>
                  <w:tcW w:w="1908" w:type="dxa"/>
                  <w:vMerge w:val="restart"/>
                  <w:shd w:val="clear" w:color="auto" w:fill="auto"/>
                </w:tcPr>
                <w:p w14:paraId="37965021" w14:textId="77777777" w:rsidR="00CB7955" w:rsidRDefault="00CB7955" w:rsidP="007A13D6">
                  <w:pPr>
                    <w:spacing w:line="240" w:lineRule="auto"/>
                    <w:rPr>
                      <w:sz w:val="20"/>
                      <w:szCs w:val="20"/>
                    </w:rPr>
                  </w:pPr>
                  <w:r>
                    <w:rPr>
                      <w:sz w:val="20"/>
                      <w:szCs w:val="20"/>
                    </w:rPr>
                    <w:t>Reading</w:t>
                  </w:r>
                </w:p>
              </w:tc>
              <w:tc>
                <w:tcPr>
                  <w:tcW w:w="1759" w:type="dxa"/>
                  <w:shd w:val="clear" w:color="auto" w:fill="auto"/>
                </w:tcPr>
                <w:p w14:paraId="1C8CDD07" w14:textId="77777777" w:rsidR="00CB7955" w:rsidRDefault="00CB7955" w:rsidP="007A13D6">
                  <w:pPr>
                    <w:spacing w:line="240" w:lineRule="auto"/>
                    <w:rPr>
                      <w:sz w:val="20"/>
                      <w:szCs w:val="20"/>
                    </w:rPr>
                  </w:pPr>
                  <w:r>
                    <w:rPr>
                      <w:sz w:val="20"/>
                      <w:szCs w:val="20"/>
                    </w:rPr>
                    <w:t>WTS</w:t>
                  </w:r>
                </w:p>
              </w:tc>
              <w:tc>
                <w:tcPr>
                  <w:tcW w:w="2165" w:type="dxa"/>
                  <w:shd w:val="clear" w:color="auto" w:fill="auto"/>
                </w:tcPr>
                <w:p w14:paraId="6308239E" w14:textId="0574C95B" w:rsidR="00CB7955" w:rsidRDefault="00CB7955" w:rsidP="007A13D6">
                  <w:pPr>
                    <w:spacing w:line="240" w:lineRule="auto"/>
                    <w:rPr>
                      <w:sz w:val="20"/>
                      <w:szCs w:val="20"/>
                    </w:rPr>
                  </w:pPr>
                  <w:r>
                    <w:rPr>
                      <w:sz w:val="20"/>
                      <w:szCs w:val="20"/>
                    </w:rPr>
                    <w:t>13</w:t>
                  </w:r>
                </w:p>
              </w:tc>
              <w:tc>
                <w:tcPr>
                  <w:tcW w:w="1938" w:type="dxa"/>
                  <w:shd w:val="clear" w:color="auto" w:fill="auto"/>
                </w:tcPr>
                <w:p w14:paraId="4A4B4894" w14:textId="48347267" w:rsidR="00CB7955" w:rsidRDefault="00CB7955" w:rsidP="007A13D6">
                  <w:pPr>
                    <w:spacing w:line="240" w:lineRule="auto"/>
                    <w:rPr>
                      <w:sz w:val="20"/>
                      <w:szCs w:val="20"/>
                    </w:rPr>
                  </w:pPr>
                  <w:r>
                    <w:rPr>
                      <w:sz w:val="20"/>
                      <w:szCs w:val="20"/>
                    </w:rPr>
                    <w:t>29</w:t>
                  </w:r>
                </w:p>
              </w:tc>
              <w:tc>
                <w:tcPr>
                  <w:tcW w:w="1497" w:type="dxa"/>
                </w:tcPr>
                <w:p w14:paraId="4367F052" w14:textId="4FCC149E" w:rsidR="00CB7955" w:rsidRDefault="00CB7955" w:rsidP="007A13D6">
                  <w:pPr>
                    <w:spacing w:line="240" w:lineRule="auto"/>
                    <w:rPr>
                      <w:sz w:val="20"/>
                      <w:szCs w:val="20"/>
                    </w:rPr>
                  </w:pPr>
                  <w:r>
                    <w:rPr>
                      <w:sz w:val="20"/>
                      <w:szCs w:val="20"/>
                    </w:rPr>
                    <w:t>-16</w:t>
                  </w:r>
                </w:p>
              </w:tc>
            </w:tr>
            <w:tr w:rsidR="00CB7955" w14:paraId="5A9E5885" w14:textId="057B55BB" w:rsidTr="00CB7955">
              <w:tc>
                <w:tcPr>
                  <w:tcW w:w="1908" w:type="dxa"/>
                  <w:vMerge/>
                  <w:shd w:val="clear" w:color="auto" w:fill="auto"/>
                </w:tcPr>
                <w:p w14:paraId="4A5388AE" w14:textId="77777777" w:rsidR="00CB7955" w:rsidRDefault="00CB7955" w:rsidP="007A13D6">
                  <w:pPr>
                    <w:spacing w:line="240" w:lineRule="auto"/>
                    <w:rPr>
                      <w:sz w:val="20"/>
                      <w:szCs w:val="20"/>
                    </w:rPr>
                  </w:pPr>
                </w:p>
              </w:tc>
              <w:tc>
                <w:tcPr>
                  <w:tcW w:w="1759" w:type="dxa"/>
                  <w:shd w:val="clear" w:color="auto" w:fill="auto"/>
                </w:tcPr>
                <w:p w14:paraId="01AF56C7" w14:textId="77777777" w:rsidR="00CB7955" w:rsidRDefault="00CB7955" w:rsidP="007A13D6">
                  <w:pPr>
                    <w:spacing w:line="240" w:lineRule="auto"/>
                    <w:rPr>
                      <w:sz w:val="20"/>
                      <w:szCs w:val="20"/>
                    </w:rPr>
                  </w:pPr>
                  <w:r>
                    <w:rPr>
                      <w:sz w:val="20"/>
                      <w:szCs w:val="20"/>
                    </w:rPr>
                    <w:t>EXS</w:t>
                  </w:r>
                </w:p>
              </w:tc>
              <w:tc>
                <w:tcPr>
                  <w:tcW w:w="2165" w:type="dxa"/>
                  <w:shd w:val="clear" w:color="auto" w:fill="auto"/>
                </w:tcPr>
                <w:p w14:paraId="3EA0C26C" w14:textId="54178DBE" w:rsidR="00CB7955" w:rsidRDefault="00CB7955" w:rsidP="007A13D6">
                  <w:pPr>
                    <w:spacing w:line="240" w:lineRule="auto"/>
                    <w:rPr>
                      <w:sz w:val="20"/>
                      <w:szCs w:val="20"/>
                    </w:rPr>
                  </w:pPr>
                  <w:r>
                    <w:rPr>
                      <w:sz w:val="20"/>
                      <w:szCs w:val="20"/>
                    </w:rPr>
                    <w:t>36</w:t>
                  </w:r>
                </w:p>
              </w:tc>
              <w:tc>
                <w:tcPr>
                  <w:tcW w:w="1938" w:type="dxa"/>
                  <w:shd w:val="clear" w:color="auto" w:fill="auto"/>
                </w:tcPr>
                <w:p w14:paraId="384F7092" w14:textId="1FF20C7C" w:rsidR="00CB7955" w:rsidRDefault="00CB7955" w:rsidP="007A13D6">
                  <w:pPr>
                    <w:spacing w:line="240" w:lineRule="auto"/>
                    <w:rPr>
                      <w:sz w:val="20"/>
                      <w:szCs w:val="20"/>
                    </w:rPr>
                  </w:pPr>
                  <w:r>
                    <w:rPr>
                      <w:sz w:val="20"/>
                      <w:szCs w:val="20"/>
                    </w:rPr>
                    <w:t>57</w:t>
                  </w:r>
                </w:p>
              </w:tc>
              <w:tc>
                <w:tcPr>
                  <w:tcW w:w="1497" w:type="dxa"/>
                  <w:vMerge w:val="restart"/>
                </w:tcPr>
                <w:p w14:paraId="67949589" w14:textId="77777777" w:rsidR="00CB7955" w:rsidRDefault="00CB7955" w:rsidP="007A13D6">
                  <w:pPr>
                    <w:spacing w:line="240" w:lineRule="auto"/>
                    <w:rPr>
                      <w:sz w:val="20"/>
                      <w:szCs w:val="20"/>
                    </w:rPr>
                  </w:pPr>
                </w:p>
              </w:tc>
            </w:tr>
            <w:tr w:rsidR="00CB7955" w14:paraId="14921B3B" w14:textId="4A39A839" w:rsidTr="00CB7955">
              <w:tc>
                <w:tcPr>
                  <w:tcW w:w="1908" w:type="dxa"/>
                  <w:vMerge/>
                  <w:shd w:val="clear" w:color="auto" w:fill="auto"/>
                </w:tcPr>
                <w:p w14:paraId="07B6CB19" w14:textId="77777777" w:rsidR="00CB7955" w:rsidRDefault="00CB7955" w:rsidP="007A13D6">
                  <w:pPr>
                    <w:spacing w:line="240" w:lineRule="auto"/>
                    <w:rPr>
                      <w:sz w:val="20"/>
                      <w:szCs w:val="20"/>
                    </w:rPr>
                  </w:pPr>
                </w:p>
              </w:tc>
              <w:tc>
                <w:tcPr>
                  <w:tcW w:w="1759" w:type="dxa"/>
                  <w:shd w:val="clear" w:color="auto" w:fill="auto"/>
                </w:tcPr>
                <w:p w14:paraId="0A9A3D53" w14:textId="77777777" w:rsidR="00CB7955" w:rsidRDefault="00CB7955" w:rsidP="007A13D6">
                  <w:pPr>
                    <w:spacing w:line="240" w:lineRule="auto"/>
                    <w:rPr>
                      <w:sz w:val="20"/>
                      <w:szCs w:val="20"/>
                    </w:rPr>
                  </w:pPr>
                  <w:r>
                    <w:rPr>
                      <w:sz w:val="20"/>
                      <w:szCs w:val="20"/>
                    </w:rPr>
                    <w:t>GDS</w:t>
                  </w:r>
                </w:p>
              </w:tc>
              <w:tc>
                <w:tcPr>
                  <w:tcW w:w="2165" w:type="dxa"/>
                  <w:shd w:val="clear" w:color="auto" w:fill="auto"/>
                </w:tcPr>
                <w:p w14:paraId="5A2F5851" w14:textId="053B87B5" w:rsidR="00CB7955" w:rsidRDefault="00CB7955" w:rsidP="007A13D6">
                  <w:pPr>
                    <w:spacing w:line="240" w:lineRule="auto"/>
                    <w:rPr>
                      <w:sz w:val="20"/>
                      <w:szCs w:val="20"/>
                    </w:rPr>
                  </w:pPr>
                  <w:r>
                    <w:rPr>
                      <w:sz w:val="20"/>
                      <w:szCs w:val="20"/>
                    </w:rPr>
                    <w:t>50</w:t>
                  </w:r>
                </w:p>
              </w:tc>
              <w:tc>
                <w:tcPr>
                  <w:tcW w:w="1938" w:type="dxa"/>
                  <w:shd w:val="clear" w:color="auto" w:fill="auto"/>
                </w:tcPr>
                <w:p w14:paraId="655BF9FC" w14:textId="594E753C" w:rsidR="00CB7955" w:rsidRDefault="00CB7955" w:rsidP="007A13D6">
                  <w:pPr>
                    <w:spacing w:line="240" w:lineRule="auto"/>
                    <w:rPr>
                      <w:sz w:val="20"/>
                      <w:szCs w:val="20"/>
                    </w:rPr>
                  </w:pPr>
                  <w:r>
                    <w:rPr>
                      <w:sz w:val="20"/>
                      <w:szCs w:val="20"/>
                    </w:rPr>
                    <w:t>14</w:t>
                  </w:r>
                </w:p>
              </w:tc>
              <w:tc>
                <w:tcPr>
                  <w:tcW w:w="1497" w:type="dxa"/>
                  <w:vMerge/>
                </w:tcPr>
                <w:p w14:paraId="20F76B6D" w14:textId="77777777" w:rsidR="00CB7955" w:rsidRDefault="00CB7955" w:rsidP="007A13D6">
                  <w:pPr>
                    <w:spacing w:line="240" w:lineRule="auto"/>
                    <w:rPr>
                      <w:sz w:val="20"/>
                      <w:szCs w:val="20"/>
                    </w:rPr>
                  </w:pPr>
                </w:p>
              </w:tc>
            </w:tr>
            <w:tr w:rsidR="00CB7955" w14:paraId="2F84859E" w14:textId="4EE0EA78" w:rsidTr="00CB7955">
              <w:tc>
                <w:tcPr>
                  <w:tcW w:w="1908" w:type="dxa"/>
                  <w:vMerge w:val="restart"/>
                </w:tcPr>
                <w:p w14:paraId="442B6260" w14:textId="77777777" w:rsidR="00CB7955" w:rsidRDefault="00CB7955" w:rsidP="007A13D6">
                  <w:pPr>
                    <w:spacing w:line="240" w:lineRule="auto"/>
                    <w:rPr>
                      <w:sz w:val="20"/>
                      <w:szCs w:val="20"/>
                    </w:rPr>
                  </w:pPr>
                  <w:r>
                    <w:rPr>
                      <w:sz w:val="20"/>
                      <w:szCs w:val="20"/>
                    </w:rPr>
                    <w:t>Writing</w:t>
                  </w:r>
                </w:p>
              </w:tc>
              <w:tc>
                <w:tcPr>
                  <w:tcW w:w="1759" w:type="dxa"/>
                </w:tcPr>
                <w:p w14:paraId="4F69E2B4" w14:textId="77777777" w:rsidR="00CB7955" w:rsidRDefault="00CB7955" w:rsidP="007A13D6">
                  <w:pPr>
                    <w:spacing w:line="240" w:lineRule="auto"/>
                    <w:rPr>
                      <w:sz w:val="20"/>
                      <w:szCs w:val="20"/>
                    </w:rPr>
                  </w:pPr>
                  <w:r>
                    <w:rPr>
                      <w:sz w:val="20"/>
                      <w:szCs w:val="20"/>
                    </w:rPr>
                    <w:t>WTS</w:t>
                  </w:r>
                </w:p>
              </w:tc>
              <w:tc>
                <w:tcPr>
                  <w:tcW w:w="2165" w:type="dxa"/>
                </w:tcPr>
                <w:p w14:paraId="2C2AE776" w14:textId="298C4C01" w:rsidR="00CB7955" w:rsidRDefault="00CB7955" w:rsidP="007A13D6">
                  <w:pPr>
                    <w:spacing w:line="240" w:lineRule="auto"/>
                    <w:rPr>
                      <w:sz w:val="20"/>
                      <w:szCs w:val="20"/>
                    </w:rPr>
                  </w:pPr>
                  <w:r>
                    <w:rPr>
                      <w:sz w:val="20"/>
                      <w:szCs w:val="20"/>
                    </w:rPr>
                    <w:t>22</w:t>
                  </w:r>
                </w:p>
              </w:tc>
              <w:tc>
                <w:tcPr>
                  <w:tcW w:w="1938" w:type="dxa"/>
                </w:tcPr>
                <w:p w14:paraId="04FE6C11" w14:textId="06E20C6A" w:rsidR="00CB7955" w:rsidRDefault="00CB7955" w:rsidP="007A13D6">
                  <w:pPr>
                    <w:spacing w:line="240" w:lineRule="auto"/>
                    <w:rPr>
                      <w:sz w:val="20"/>
                      <w:szCs w:val="20"/>
                    </w:rPr>
                  </w:pPr>
                  <w:r>
                    <w:rPr>
                      <w:sz w:val="20"/>
                      <w:szCs w:val="20"/>
                    </w:rPr>
                    <w:t>50</w:t>
                  </w:r>
                </w:p>
              </w:tc>
              <w:tc>
                <w:tcPr>
                  <w:tcW w:w="1497" w:type="dxa"/>
                </w:tcPr>
                <w:p w14:paraId="258FEE70" w14:textId="3B40D879" w:rsidR="00CB7955" w:rsidRDefault="00CB7955" w:rsidP="007A13D6">
                  <w:pPr>
                    <w:spacing w:line="240" w:lineRule="auto"/>
                    <w:rPr>
                      <w:sz w:val="20"/>
                      <w:szCs w:val="20"/>
                    </w:rPr>
                  </w:pPr>
                  <w:r>
                    <w:rPr>
                      <w:sz w:val="20"/>
                      <w:szCs w:val="20"/>
                    </w:rPr>
                    <w:t>-28</w:t>
                  </w:r>
                </w:p>
              </w:tc>
            </w:tr>
            <w:tr w:rsidR="00CB7955" w14:paraId="3573D52B" w14:textId="1DBB074C" w:rsidTr="00CB7955">
              <w:tc>
                <w:tcPr>
                  <w:tcW w:w="1908" w:type="dxa"/>
                  <w:vMerge/>
                </w:tcPr>
                <w:p w14:paraId="0A06D625" w14:textId="77777777" w:rsidR="00CB7955" w:rsidRDefault="00CB7955" w:rsidP="007A13D6">
                  <w:pPr>
                    <w:spacing w:line="240" w:lineRule="auto"/>
                    <w:rPr>
                      <w:sz w:val="20"/>
                      <w:szCs w:val="20"/>
                    </w:rPr>
                  </w:pPr>
                </w:p>
              </w:tc>
              <w:tc>
                <w:tcPr>
                  <w:tcW w:w="1759" w:type="dxa"/>
                </w:tcPr>
                <w:p w14:paraId="4351F174" w14:textId="77777777" w:rsidR="00CB7955" w:rsidRDefault="00CB7955" w:rsidP="007A13D6">
                  <w:pPr>
                    <w:spacing w:line="240" w:lineRule="auto"/>
                    <w:rPr>
                      <w:sz w:val="20"/>
                      <w:szCs w:val="20"/>
                    </w:rPr>
                  </w:pPr>
                  <w:r>
                    <w:rPr>
                      <w:sz w:val="20"/>
                      <w:szCs w:val="20"/>
                    </w:rPr>
                    <w:t>EXS</w:t>
                  </w:r>
                </w:p>
              </w:tc>
              <w:tc>
                <w:tcPr>
                  <w:tcW w:w="2165" w:type="dxa"/>
                </w:tcPr>
                <w:p w14:paraId="39A8C8D5" w14:textId="40AD2F9F" w:rsidR="00CB7955" w:rsidRDefault="00CB7955" w:rsidP="007A13D6">
                  <w:pPr>
                    <w:spacing w:line="240" w:lineRule="auto"/>
                    <w:rPr>
                      <w:sz w:val="20"/>
                      <w:szCs w:val="20"/>
                    </w:rPr>
                  </w:pPr>
                  <w:r>
                    <w:rPr>
                      <w:sz w:val="20"/>
                      <w:szCs w:val="20"/>
                    </w:rPr>
                    <w:t>72</w:t>
                  </w:r>
                </w:p>
              </w:tc>
              <w:tc>
                <w:tcPr>
                  <w:tcW w:w="1938" w:type="dxa"/>
                </w:tcPr>
                <w:p w14:paraId="1B2D571E" w14:textId="72B0AF34" w:rsidR="00CB7955" w:rsidRDefault="00CB7955" w:rsidP="007A13D6">
                  <w:pPr>
                    <w:spacing w:line="240" w:lineRule="auto"/>
                    <w:rPr>
                      <w:sz w:val="20"/>
                      <w:szCs w:val="20"/>
                    </w:rPr>
                  </w:pPr>
                  <w:r>
                    <w:rPr>
                      <w:sz w:val="20"/>
                      <w:szCs w:val="20"/>
                    </w:rPr>
                    <w:t>50</w:t>
                  </w:r>
                </w:p>
              </w:tc>
              <w:tc>
                <w:tcPr>
                  <w:tcW w:w="1497" w:type="dxa"/>
                  <w:vMerge w:val="restart"/>
                </w:tcPr>
                <w:p w14:paraId="2B13A276" w14:textId="77777777" w:rsidR="00CB7955" w:rsidRDefault="00CB7955" w:rsidP="007A13D6">
                  <w:pPr>
                    <w:spacing w:line="240" w:lineRule="auto"/>
                    <w:rPr>
                      <w:sz w:val="20"/>
                      <w:szCs w:val="20"/>
                    </w:rPr>
                  </w:pPr>
                </w:p>
              </w:tc>
            </w:tr>
            <w:tr w:rsidR="00CB7955" w14:paraId="452EC539" w14:textId="2B4C5705" w:rsidTr="00CB7955">
              <w:tc>
                <w:tcPr>
                  <w:tcW w:w="1908" w:type="dxa"/>
                  <w:vMerge/>
                </w:tcPr>
                <w:p w14:paraId="37C5A019" w14:textId="77777777" w:rsidR="00CB7955" w:rsidRDefault="00CB7955" w:rsidP="007A13D6">
                  <w:pPr>
                    <w:spacing w:line="240" w:lineRule="auto"/>
                    <w:rPr>
                      <w:sz w:val="20"/>
                      <w:szCs w:val="20"/>
                    </w:rPr>
                  </w:pPr>
                </w:p>
              </w:tc>
              <w:tc>
                <w:tcPr>
                  <w:tcW w:w="1759" w:type="dxa"/>
                </w:tcPr>
                <w:p w14:paraId="339BB1E1" w14:textId="77777777" w:rsidR="00CB7955" w:rsidRDefault="00CB7955" w:rsidP="007A13D6">
                  <w:pPr>
                    <w:spacing w:line="240" w:lineRule="auto"/>
                    <w:rPr>
                      <w:sz w:val="20"/>
                      <w:szCs w:val="20"/>
                    </w:rPr>
                  </w:pPr>
                  <w:r>
                    <w:rPr>
                      <w:sz w:val="20"/>
                      <w:szCs w:val="20"/>
                    </w:rPr>
                    <w:t>GDS</w:t>
                  </w:r>
                </w:p>
              </w:tc>
              <w:tc>
                <w:tcPr>
                  <w:tcW w:w="2165" w:type="dxa"/>
                </w:tcPr>
                <w:p w14:paraId="7703D38F" w14:textId="4F08AAB9" w:rsidR="00CB7955" w:rsidRDefault="00CB7955" w:rsidP="007A13D6">
                  <w:pPr>
                    <w:spacing w:line="240" w:lineRule="auto"/>
                    <w:rPr>
                      <w:sz w:val="20"/>
                      <w:szCs w:val="20"/>
                    </w:rPr>
                  </w:pPr>
                  <w:r>
                    <w:rPr>
                      <w:sz w:val="20"/>
                      <w:szCs w:val="20"/>
                    </w:rPr>
                    <w:t>4</w:t>
                  </w:r>
                </w:p>
              </w:tc>
              <w:tc>
                <w:tcPr>
                  <w:tcW w:w="1938" w:type="dxa"/>
                </w:tcPr>
                <w:p w14:paraId="68D81872" w14:textId="7F3E65A8" w:rsidR="00CB7955" w:rsidRDefault="00CB7955" w:rsidP="007A13D6">
                  <w:pPr>
                    <w:spacing w:line="240" w:lineRule="auto"/>
                    <w:rPr>
                      <w:sz w:val="20"/>
                      <w:szCs w:val="20"/>
                    </w:rPr>
                  </w:pPr>
                  <w:r>
                    <w:rPr>
                      <w:sz w:val="20"/>
                      <w:szCs w:val="20"/>
                    </w:rPr>
                    <w:t>0</w:t>
                  </w:r>
                </w:p>
              </w:tc>
              <w:tc>
                <w:tcPr>
                  <w:tcW w:w="1497" w:type="dxa"/>
                  <w:vMerge/>
                </w:tcPr>
                <w:p w14:paraId="2AB31F9A" w14:textId="77777777" w:rsidR="00CB7955" w:rsidRDefault="00CB7955" w:rsidP="007A13D6">
                  <w:pPr>
                    <w:spacing w:line="240" w:lineRule="auto"/>
                    <w:rPr>
                      <w:sz w:val="20"/>
                      <w:szCs w:val="20"/>
                    </w:rPr>
                  </w:pPr>
                </w:p>
              </w:tc>
            </w:tr>
            <w:tr w:rsidR="00CB7955" w14:paraId="7B5712C1" w14:textId="34D0270B" w:rsidTr="00CB7955">
              <w:tc>
                <w:tcPr>
                  <w:tcW w:w="1908" w:type="dxa"/>
                  <w:vMerge w:val="restart"/>
                </w:tcPr>
                <w:p w14:paraId="2E51068E" w14:textId="77777777" w:rsidR="00CB7955" w:rsidRDefault="00CB7955" w:rsidP="007A13D6">
                  <w:pPr>
                    <w:spacing w:line="240" w:lineRule="auto"/>
                    <w:rPr>
                      <w:sz w:val="20"/>
                      <w:szCs w:val="20"/>
                    </w:rPr>
                  </w:pPr>
                  <w:r>
                    <w:rPr>
                      <w:sz w:val="20"/>
                      <w:szCs w:val="20"/>
                    </w:rPr>
                    <w:t>Maths</w:t>
                  </w:r>
                </w:p>
              </w:tc>
              <w:tc>
                <w:tcPr>
                  <w:tcW w:w="1759" w:type="dxa"/>
                </w:tcPr>
                <w:p w14:paraId="7575502C" w14:textId="77777777" w:rsidR="00CB7955" w:rsidRDefault="00CB7955" w:rsidP="007A13D6">
                  <w:pPr>
                    <w:spacing w:line="240" w:lineRule="auto"/>
                    <w:rPr>
                      <w:sz w:val="20"/>
                      <w:szCs w:val="20"/>
                    </w:rPr>
                  </w:pPr>
                  <w:r>
                    <w:rPr>
                      <w:sz w:val="20"/>
                      <w:szCs w:val="20"/>
                    </w:rPr>
                    <w:t>WTS</w:t>
                  </w:r>
                </w:p>
              </w:tc>
              <w:tc>
                <w:tcPr>
                  <w:tcW w:w="2165" w:type="dxa"/>
                </w:tcPr>
                <w:p w14:paraId="309198FA" w14:textId="467AAFB7" w:rsidR="00CB7955" w:rsidRDefault="00CB7955" w:rsidP="007A13D6">
                  <w:pPr>
                    <w:spacing w:line="240" w:lineRule="auto"/>
                    <w:rPr>
                      <w:sz w:val="20"/>
                      <w:szCs w:val="20"/>
                    </w:rPr>
                  </w:pPr>
                  <w:r>
                    <w:rPr>
                      <w:sz w:val="20"/>
                      <w:szCs w:val="20"/>
                    </w:rPr>
                    <w:t>12</w:t>
                  </w:r>
                </w:p>
              </w:tc>
              <w:tc>
                <w:tcPr>
                  <w:tcW w:w="1938" w:type="dxa"/>
                </w:tcPr>
                <w:p w14:paraId="5CA6855C" w14:textId="76F3ECBF" w:rsidR="00CB7955" w:rsidRDefault="00CB7955" w:rsidP="007A13D6">
                  <w:pPr>
                    <w:spacing w:line="240" w:lineRule="auto"/>
                    <w:rPr>
                      <w:sz w:val="20"/>
                      <w:szCs w:val="20"/>
                    </w:rPr>
                  </w:pPr>
                  <w:r>
                    <w:rPr>
                      <w:sz w:val="20"/>
                      <w:szCs w:val="20"/>
                    </w:rPr>
                    <w:t>21</w:t>
                  </w:r>
                </w:p>
              </w:tc>
              <w:tc>
                <w:tcPr>
                  <w:tcW w:w="1497" w:type="dxa"/>
                </w:tcPr>
                <w:p w14:paraId="3076B181" w14:textId="3778E79E" w:rsidR="00CB7955" w:rsidRDefault="00CB7955" w:rsidP="007A13D6">
                  <w:pPr>
                    <w:spacing w:line="240" w:lineRule="auto"/>
                    <w:rPr>
                      <w:sz w:val="20"/>
                      <w:szCs w:val="20"/>
                    </w:rPr>
                  </w:pPr>
                  <w:r>
                    <w:rPr>
                      <w:sz w:val="20"/>
                      <w:szCs w:val="20"/>
                    </w:rPr>
                    <w:t>-9</w:t>
                  </w:r>
                </w:p>
              </w:tc>
            </w:tr>
            <w:tr w:rsidR="00CB7955" w14:paraId="0EA7FA29" w14:textId="548479E7" w:rsidTr="00CB7955">
              <w:tc>
                <w:tcPr>
                  <w:tcW w:w="1908" w:type="dxa"/>
                  <w:vMerge/>
                </w:tcPr>
                <w:p w14:paraId="56776B60" w14:textId="77777777" w:rsidR="00CB7955" w:rsidRDefault="00CB7955" w:rsidP="007A13D6">
                  <w:pPr>
                    <w:spacing w:line="240" w:lineRule="auto"/>
                    <w:rPr>
                      <w:sz w:val="20"/>
                      <w:szCs w:val="20"/>
                    </w:rPr>
                  </w:pPr>
                </w:p>
              </w:tc>
              <w:tc>
                <w:tcPr>
                  <w:tcW w:w="1759" w:type="dxa"/>
                </w:tcPr>
                <w:p w14:paraId="3E5F260E" w14:textId="77777777" w:rsidR="00CB7955" w:rsidRDefault="00CB7955" w:rsidP="007A13D6">
                  <w:pPr>
                    <w:spacing w:line="240" w:lineRule="auto"/>
                    <w:rPr>
                      <w:sz w:val="20"/>
                      <w:szCs w:val="20"/>
                    </w:rPr>
                  </w:pPr>
                  <w:r>
                    <w:rPr>
                      <w:sz w:val="20"/>
                      <w:szCs w:val="20"/>
                    </w:rPr>
                    <w:t>EXS</w:t>
                  </w:r>
                </w:p>
              </w:tc>
              <w:tc>
                <w:tcPr>
                  <w:tcW w:w="2165" w:type="dxa"/>
                </w:tcPr>
                <w:p w14:paraId="6343BB4E" w14:textId="6CC1DAAD" w:rsidR="00CB7955" w:rsidRDefault="00CB7955" w:rsidP="007A13D6">
                  <w:pPr>
                    <w:spacing w:line="240" w:lineRule="auto"/>
                    <w:rPr>
                      <w:sz w:val="20"/>
                      <w:szCs w:val="20"/>
                    </w:rPr>
                  </w:pPr>
                  <w:r>
                    <w:rPr>
                      <w:sz w:val="20"/>
                      <w:szCs w:val="20"/>
                    </w:rPr>
                    <w:t>63</w:t>
                  </w:r>
                </w:p>
              </w:tc>
              <w:tc>
                <w:tcPr>
                  <w:tcW w:w="1938" w:type="dxa"/>
                </w:tcPr>
                <w:p w14:paraId="38757F78" w14:textId="34D62A9A" w:rsidR="00CB7955" w:rsidRDefault="00CB7955" w:rsidP="007A13D6">
                  <w:pPr>
                    <w:spacing w:line="240" w:lineRule="auto"/>
                    <w:rPr>
                      <w:sz w:val="20"/>
                      <w:szCs w:val="20"/>
                    </w:rPr>
                  </w:pPr>
                  <w:r>
                    <w:rPr>
                      <w:sz w:val="20"/>
                      <w:szCs w:val="20"/>
                    </w:rPr>
                    <w:t>71</w:t>
                  </w:r>
                </w:p>
              </w:tc>
              <w:tc>
                <w:tcPr>
                  <w:tcW w:w="1497" w:type="dxa"/>
                </w:tcPr>
                <w:p w14:paraId="79457D2A" w14:textId="77777777" w:rsidR="00CB7955" w:rsidRDefault="00CB7955" w:rsidP="007A13D6">
                  <w:pPr>
                    <w:spacing w:line="240" w:lineRule="auto"/>
                    <w:rPr>
                      <w:sz w:val="20"/>
                      <w:szCs w:val="20"/>
                    </w:rPr>
                  </w:pPr>
                </w:p>
              </w:tc>
            </w:tr>
            <w:tr w:rsidR="00CB7955" w14:paraId="54F07A9D" w14:textId="79DFA3D3" w:rsidTr="00CB7955">
              <w:trPr>
                <w:trHeight w:val="250"/>
              </w:trPr>
              <w:tc>
                <w:tcPr>
                  <w:tcW w:w="1908" w:type="dxa"/>
                  <w:vMerge/>
                </w:tcPr>
                <w:p w14:paraId="5D34A905" w14:textId="77777777" w:rsidR="00CB7955" w:rsidRDefault="00CB7955" w:rsidP="007A13D6">
                  <w:pPr>
                    <w:spacing w:line="240" w:lineRule="auto"/>
                    <w:rPr>
                      <w:sz w:val="20"/>
                      <w:szCs w:val="20"/>
                    </w:rPr>
                  </w:pPr>
                </w:p>
              </w:tc>
              <w:tc>
                <w:tcPr>
                  <w:tcW w:w="1759" w:type="dxa"/>
                </w:tcPr>
                <w:p w14:paraId="48451283" w14:textId="77777777" w:rsidR="00CB7955" w:rsidRDefault="00CB7955" w:rsidP="007A13D6">
                  <w:pPr>
                    <w:spacing w:line="240" w:lineRule="auto"/>
                    <w:rPr>
                      <w:sz w:val="20"/>
                      <w:szCs w:val="20"/>
                    </w:rPr>
                  </w:pPr>
                  <w:r>
                    <w:rPr>
                      <w:sz w:val="20"/>
                      <w:szCs w:val="20"/>
                    </w:rPr>
                    <w:t>GDS</w:t>
                  </w:r>
                </w:p>
              </w:tc>
              <w:tc>
                <w:tcPr>
                  <w:tcW w:w="2165" w:type="dxa"/>
                </w:tcPr>
                <w:p w14:paraId="1CE4026F" w14:textId="6484AA20" w:rsidR="00CB7955" w:rsidRDefault="00CB7955" w:rsidP="007A13D6">
                  <w:pPr>
                    <w:spacing w:line="240" w:lineRule="auto"/>
                    <w:rPr>
                      <w:sz w:val="20"/>
                      <w:szCs w:val="20"/>
                    </w:rPr>
                  </w:pPr>
                  <w:r>
                    <w:rPr>
                      <w:sz w:val="20"/>
                      <w:szCs w:val="20"/>
                    </w:rPr>
                    <w:t>24</w:t>
                  </w:r>
                </w:p>
              </w:tc>
              <w:tc>
                <w:tcPr>
                  <w:tcW w:w="1938" w:type="dxa"/>
                </w:tcPr>
                <w:p w14:paraId="723E23CE" w14:textId="172D26B9" w:rsidR="00CB7955" w:rsidRDefault="00CB7955" w:rsidP="007A13D6">
                  <w:pPr>
                    <w:spacing w:line="240" w:lineRule="auto"/>
                    <w:rPr>
                      <w:sz w:val="20"/>
                      <w:szCs w:val="20"/>
                    </w:rPr>
                  </w:pPr>
                  <w:r>
                    <w:rPr>
                      <w:sz w:val="20"/>
                      <w:szCs w:val="20"/>
                    </w:rPr>
                    <w:t>7</w:t>
                  </w:r>
                </w:p>
              </w:tc>
              <w:tc>
                <w:tcPr>
                  <w:tcW w:w="1497" w:type="dxa"/>
                </w:tcPr>
                <w:p w14:paraId="139CC154" w14:textId="77777777" w:rsidR="00CB7955" w:rsidRDefault="00CB7955" w:rsidP="007A13D6">
                  <w:pPr>
                    <w:spacing w:line="240" w:lineRule="auto"/>
                    <w:rPr>
                      <w:sz w:val="20"/>
                      <w:szCs w:val="20"/>
                    </w:rPr>
                  </w:pPr>
                </w:p>
              </w:tc>
            </w:tr>
          </w:tbl>
          <w:p w14:paraId="12C3FCE7" w14:textId="2C1A71A3" w:rsidR="007A13D6" w:rsidRDefault="007A13D6" w:rsidP="008A524B">
            <w:pPr>
              <w:rPr>
                <w:sz w:val="20"/>
                <w:szCs w:val="20"/>
              </w:rPr>
            </w:pPr>
          </w:p>
          <w:p w14:paraId="0D86509C" w14:textId="400A4037" w:rsidR="007A13D6" w:rsidRPr="00CB7955" w:rsidRDefault="00CB7955" w:rsidP="008A524B">
            <w:pPr>
              <w:rPr>
                <w:color w:val="auto"/>
                <w:sz w:val="20"/>
                <w:szCs w:val="20"/>
              </w:rPr>
            </w:pPr>
            <w:r w:rsidRPr="00CB7955">
              <w:rPr>
                <w:color w:val="auto"/>
                <w:sz w:val="20"/>
                <w:szCs w:val="20"/>
              </w:rPr>
              <w:t>The gap has seemingly widened between non-disadvantaged and disadvantaged in reading but narrowed in both maths and writing – significantly so in maths.</w:t>
            </w:r>
          </w:p>
          <w:p w14:paraId="1982E7F5" w14:textId="77FEA8F7" w:rsidR="00CB7955" w:rsidRPr="00CB7955" w:rsidRDefault="00CB7955" w:rsidP="008A524B">
            <w:pPr>
              <w:rPr>
                <w:color w:val="auto"/>
                <w:sz w:val="20"/>
                <w:szCs w:val="20"/>
              </w:rPr>
            </w:pPr>
            <w:r w:rsidRPr="00CB7955">
              <w:rPr>
                <w:color w:val="auto"/>
                <w:sz w:val="20"/>
                <w:szCs w:val="20"/>
              </w:rPr>
              <w:t>Reading appears to be the area of focus required going into the next academic year.</w:t>
            </w:r>
          </w:p>
          <w:p w14:paraId="77746A3E" w14:textId="0FE04B6E" w:rsidR="008A524B" w:rsidRPr="00B669A7" w:rsidRDefault="00786B12" w:rsidP="008A524B">
            <w:pPr>
              <w:rPr>
                <w:b/>
                <w:sz w:val="20"/>
                <w:szCs w:val="20"/>
              </w:rPr>
            </w:pPr>
            <w:r w:rsidRPr="00B669A7">
              <w:rPr>
                <w:b/>
                <w:sz w:val="20"/>
                <w:szCs w:val="20"/>
              </w:rPr>
              <w:t>Outcome</w:t>
            </w:r>
            <w:r w:rsidR="008A524B" w:rsidRPr="00B669A7">
              <w:rPr>
                <w:b/>
                <w:sz w:val="20"/>
                <w:szCs w:val="20"/>
              </w:rPr>
              <w:t xml:space="preserve"> 2:</w:t>
            </w:r>
          </w:p>
          <w:p w14:paraId="2ABA84C4" w14:textId="2DC98B56" w:rsidR="00786B12" w:rsidRPr="00B669A7" w:rsidRDefault="00786B12" w:rsidP="00786B12">
            <w:pPr>
              <w:pStyle w:val="7Tablebodycopy"/>
              <w:rPr>
                <w:b/>
                <w:szCs w:val="20"/>
              </w:rPr>
            </w:pPr>
            <w:r w:rsidRPr="00B669A7">
              <w:rPr>
                <w:b/>
                <w:szCs w:val="20"/>
              </w:rPr>
              <w:t xml:space="preserve">Pupils with identified social, emotional or health needs are supported by school staff so that their needs are removed or </w:t>
            </w:r>
            <w:r w:rsidR="00054162" w:rsidRPr="00B669A7">
              <w:rPr>
                <w:b/>
                <w:szCs w:val="20"/>
              </w:rPr>
              <w:t>alleviated.</w:t>
            </w:r>
          </w:p>
          <w:p w14:paraId="508429D2" w14:textId="77777777" w:rsidR="00786B12" w:rsidRPr="00B669A7" w:rsidRDefault="00786B12" w:rsidP="00786B12">
            <w:pPr>
              <w:pStyle w:val="TableRow"/>
              <w:ind w:left="0"/>
              <w:rPr>
                <w:b/>
                <w:sz w:val="20"/>
                <w:szCs w:val="20"/>
              </w:rPr>
            </w:pPr>
          </w:p>
          <w:p w14:paraId="42323C3F" w14:textId="1C3E14A1" w:rsidR="00786B12" w:rsidRPr="00B669A7" w:rsidRDefault="00786B12" w:rsidP="00786B12">
            <w:pPr>
              <w:rPr>
                <w:b/>
                <w:sz w:val="20"/>
                <w:szCs w:val="20"/>
              </w:rPr>
            </w:pPr>
            <w:r w:rsidRPr="00B669A7">
              <w:rPr>
                <w:b/>
                <w:sz w:val="20"/>
                <w:szCs w:val="20"/>
              </w:rPr>
              <w:t>Families with identified social, emotional or health needs are supported by school staff so that the needs are removed or alleviated.</w:t>
            </w:r>
          </w:p>
          <w:p w14:paraId="6F1B6722" w14:textId="54E89387" w:rsidR="008A524B" w:rsidRPr="00B669A7" w:rsidRDefault="00054162" w:rsidP="00786B12">
            <w:pPr>
              <w:rPr>
                <w:sz w:val="20"/>
                <w:szCs w:val="20"/>
              </w:rPr>
            </w:pPr>
            <w:r w:rsidRPr="00B669A7">
              <w:rPr>
                <w:sz w:val="20"/>
                <w:szCs w:val="20"/>
              </w:rPr>
              <w:t xml:space="preserve">There has been a slow but steady rise in children suffering from acute mental health difficulties. The causes are varied but most present as either generalises worry or anxiety. </w:t>
            </w:r>
          </w:p>
          <w:p w14:paraId="31343091" w14:textId="57628871" w:rsidR="00054162" w:rsidRPr="00B669A7" w:rsidRDefault="008A524B" w:rsidP="008A524B">
            <w:pPr>
              <w:rPr>
                <w:sz w:val="20"/>
                <w:szCs w:val="20"/>
              </w:rPr>
            </w:pPr>
            <w:r w:rsidRPr="00B669A7">
              <w:rPr>
                <w:sz w:val="20"/>
                <w:szCs w:val="20"/>
              </w:rPr>
              <w:t xml:space="preserve">We have </w:t>
            </w:r>
            <w:r w:rsidR="00054162" w:rsidRPr="00B669A7">
              <w:rPr>
                <w:sz w:val="20"/>
                <w:szCs w:val="20"/>
              </w:rPr>
              <w:t>continued to</w:t>
            </w:r>
            <w:r w:rsidRPr="00B669A7">
              <w:rPr>
                <w:sz w:val="20"/>
                <w:szCs w:val="20"/>
              </w:rPr>
              <w:t xml:space="preserve"> </w:t>
            </w:r>
            <w:r w:rsidR="00054162" w:rsidRPr="00B669A7">
              <w:rPr>
                <w:sz w:val="20"/>
                <w:szCs w:val="20"/>
              </w:rPr>
              <w:t>strengthen</w:t>
            </w:r>
            <w:r w:rsidRPr="00B669A7">
              <w:rPr>
                <w:sz w:val="20"/>
                <w:szCs w:val="20"/>
              </w:rPr>
              <w:t xml:space="preserve"> links with external agencies that can support parents, not just </w:t>
            </w:r>
            <w:r w:rsidR="00054162" w:rsidRPr="00B669A7">
              <w:rPr>
                <w:sz w:val="20"/>
                <w:szCs w:val="20"/>
              </w:rPr>
              <w:t>FIS</w:t>
            </w:r>
            <w:r w:rsidRPr="00B669A7">
              <w:rPr>
                <w:sz w:val="20"/>
                <w:szCs w:val="20"/>
              </w:rPr>
              <w:t xml:space="preserve"> and Social Care but also some private providers.</w:t>
            </w:r>
            <w:r w:rsidR="00054162" w:rsidRPr="00B669A7">
              <w:rPr>
                <w:sz w:val="20"/>
                <w:szCs w:val="20"/>
              </w:rPr>
              <w:t xml:space="preserve"> Out pastoral TA is working with more children but for shorter period suggesting that </w:t>
            </w:r>
            <w:r w:rsidR="00B669A7" w:rsidRPr="00B669A7">
              <w:rPr>
                <w:sz w:val="20"/>
                <w:szCs w:val="20"/>
              </w:rPr>
              <w:t xml:space="preserve">early </w:t>
            </w:r>
            <w:r w:rsidR="00054162" w:rsidRPr="00B669A7">
              <w:rPr>
                <w:sz w:val="20"/>
                <w:szCs w:val="20"/>
              </w:rPr>
              <w:t>intervention is working.</w:t>
            </w:r>
            <w:r w:rsidRPr="00B669A7">
              <w:rPr>
                <w:sz w:val="20"/>
                <w:szCs w:val="20"/>
              </w:rPr>
              <w:t xml:space="preserve"> </w:t>
            </w:r>
          </w:p>
          <w:p w14:paraId="095086B4" w14:textId="29E165C8" w:rsidR="008A524B" w:rsidRPr="00D31D10" w:rsidRDefault="008A524B" w:rsidP="008A524B">
            <w:pPr>
              <w:rPr>
                <w:sz w:val="20"/>
                <w:szCs w:val="20"/>
              </w:rPr>
            </w:pPr>
            <w:r w:rsidRPr="00D31D10">
              <w:rPr>
                <w:sz w:val="20"/>
                <w:szCs w:val="20"/>
              </w:rPr>
              <w:t xml:space="preserve">There has been clear evidence of success in this area with many children and </w:t>
            </w:r>
            <w:proofErr w:type="gramStart"/>
            <w:r w:rsidRPr="00D31D10">
              <w:rPr>
                <w:sz w:val="20"/>
                <w:szCs w:val="20"/>
              </w:rPr>
              <w:t>families</w:t>
            </w:r>
            <w:proofErr w:type="gramEnd"/>
            <w:r w:rsidRPr="00D31D10">
              <w:rPr>
                <w:sz w:val="20"/>
                <w:szCs w:val="20"/>
              </w:rPr>
              <w:t xml:space="preserve"> anxiety levels dropping allowing them to engage more successfully in their learning. However, it continues to be a major barrier due to the number and complexities of the problem.</w:t>
            </w:r>
            <w:r w:rsidR="00B669A7" w:rsidRPr="00D31D10">
              <w:rPr>
                <w:sz w:val="20"/>
                <w:szCs w:val="20"/>
              </w:rPr>
              <w:t xml:space="preserve"> Out Attendance and Inclusion Officer still meets with a small number of families on a regular basis to provide support but this number is less than previous years. FIS are involved with all of these families in some capacity o</w:t>
            </w:r>
            <w:r w:rsidR="00D31D10" w:rsidRPr="00D31D10">
              <w:rPr>
                <w:sz w:val="20"/>
                <w:szCs w:val="20"/>
              </w:rPr>
              <w:t>r</w:t>
            </w:r>
            <w:r w:rsidR="00B669A7" w:rsidRPr="00D31D10">
              <w:rPr>
                <w:sz w:val="20"/>
                <w:szCs w:val="20"/>
              </w:rPr>
              <w:t xml:space="preserve"> have been</w:t>
            </w:r>
            <w:r w:rsidR="00D31D10" w:rsidRPr="00D31D10">
              <w:rPr>
                <w:sz w:val="20"/>
                <w:szCs w:val="20"/>
              </w:rPr>
              <w:t>.</w:t>
            </w:r>
          </w:p>
          <w:p w14:paraId="4A5E49E8" w14:textId="511C1DCE" w:rsidR="00D57548" w:rsidRPr="00D31D10" w:rsidRDefault="00D31D10" w:rsidP="008A524B">
            <w:pPr>
              <w:rPr>
                <w:sz w:val="20"/>
                <w:szCs w:val="20"/>
              </w:rPr>
            </w:pPr>
            <w:r w:rsidRPr="00D31D10">
              <w:rPr>
                <w:sz w:val="20"/>
                <w:szCs w:val="20"/>
              </w:rPr>
              <w:t>A further measure of success is that the</w:t>
            </w:r>
            <w:r w:rsidR="00D57548" w:rsidRPr="00D31D10">
              <w:rPr>
                <w:sz w:val="20"/>
                <w:szCs w:val="20"/>
              </w:rPr>
              <w:t xml:space="preserve"> ‘Chillout’ space, staffed by HLTAs over the lunchtime period to allow pupils time away from the hustle and bustle of the school playground</w:t>
            </w:r>
            <w:r w:rsidRPr="00D31D10">
              <w:rPr>
                <w:sz w:val="20"/>
                <w:szCs w:val="20"/>
              </w:rPr>
              <w:t xml:space="preserve"> is not used as much as in the previous year</w:t>
            </w:r>
            <w:r w:rsidR="00D57548" w:rsidRPr="00D31D10">
              <w:rPr>
                <w:sz w:val="20"/>
                <w:szCs w:val="20"/>
              </w:rPr>
              <w:t>. This is not a space for children to stay in all lunchtime, rather a space to develop quiet friendships and to develop self-regulation strategies.</w:t>
            </w:r>
            <w:r w:rsidR="000D7196" w:rsidRPr="00D31D10">
              <w:rPr>
                <w:sz w:val="20"/>
                <w:szCs w:val="20"/>
              </w:rPr>
              <w:t xml:space="preserve"> </w:t>
            </w:r>
            <w:r w:rsidRPr="00D31D10">
              <w:rPr>
                <w:sz w:val="20"/>
                <w:szCs w:val="20"/>
              </w:rPr>
              <w:t>The decrease in attendees is significant and now the space is primarily used by children with SEN.</w:t>
            </w:r>
          </w:p>
          <w:p w14:paraId="714C6AE6" w14:textId="26228151" w:rsidR="008A524B" w:rsidRPr="00C40624" w:rsidRDefault="00786B12" w:rsidP="008A524B">
            <w:pPr>
              <w:rPr>
                <w:b/>
                <w:sz w:val="20"/>
                <w:szCs w:val="20"/>
              </w:rPr>
            </w:pPr>
            <w:r w:rsidRPr="00C40624">
              <w:rPr>
                <w:b/>
                <w:sz w:val="20"/>
                <w:szCs w:val="20"/>
              </w:rPr>
              <w:t>Outcome</w:t>
            </w:r>
            <w:r w:rsidR="008A524B" w:rsidRPr="00C40624">
              <w:rPr>
                <w:b/>
                <w:sz w:val="20"/>
                <w:szCs w:val="20"/>
              </w:rPr>
              <w:t xml:space="preserve"> </w:t>
            </w:r>
            <w:r w:rsidRPr="00C40624">
              <w:rPr>
                <w:b/>
                <w:sz w:val="20"/>
                <w:szCs w:val="20"/>
              </w:rPr>
              <w:t>3</w:t>
            </w:r>
            <w:r w:rsidR="008A524B" w:rsidRPr="00C40624">
              <w:rPr>
                <w:b/>
                <w:sz w:val="20"/>
                <w:szCs w:val="20"/>
              </w:rPr>
              <w:t>:</w:t>
            </w:r>
          </w:p>
          <w:p w14:paraId="593D0DF9" w14:textId="77777777" w:rsidR="00AA771B" w:rsidRPr="00C40624" w:rsidRDefault="00786B12" w:rsidP="008A524B">
            <w:pPr>
              <w:rPr>
                <w:b/>
                <w:sz w:val="20"/>
                <w:szCs w:val="20"/>
              </w:rPr>
            </w:pPr>
            <w:r w:rsidRPr="00C40624">
              <w:rPr>
                <w:b/>
                <w:sz w:val="20"/>
                <w:szCs w:val="20"/>
              </w:rPr>
              <w:t>Pupils have a breadth of experiences that enable them to contextualize their learning and increase opportunities for success</w:t>
            </w:r>
            <w:r w:rsidR="00AA771B" w:rsidRPr="00C40624">
              <w:rPr>
                <w:b/>
                <w:sz w:val="20"/>
                <w:szCs w:val="20"/>
              </w:rPr>
              <w:t>.</w:t>
            </w:r>
          </w:p>
          <w:p w14:paraId="7A5C4FC7" w14:textId="2A0BE7E1" w:rsidR="008A524B" w:rsidRPr="00A72F55" w:rsidRDefault="00AA771B" w:rsidP="008A524B">
            <w:pPr>
              <w:rPr>
                <w:sz w:val="20"/>
                <w:szCs w:val="20"/>
                <w:highlight w:val="yellow"/>
              </w:rPr>
            </w:pPr>
            <w:r w:rsidRPr="00AA771B">
              <w:rPr>
                <w:sz w:val="20"/>
                <w:szCs w:val="20"/>
              </w:rPr>
              <w:t>F</w:t>
            </w:r>
            <w:r w:rsidR="00D57548" w:rsidRPr="00AA771B">
              <w:rPr>
                <w:sz w:val="20"/>
                <w:szCs w:val="20"/>
              </w:rPr>
              <w:t>inancial support offered to the families</w:t>
            </w:r>
            <w:r w:rsidRPr="00AA771B">
              <w:rPr>
                <w:sz w:val="20"/>
                <w:szCs w:val="20"/>
              </w:rPr>
              <w:t xml:space="preserve">, and a flexible approach have enabled the majority of children to be able to attend residentials. Where children don’t attend, this </w:t>
            </w:r>
            <w:r w:rsidR="00C40624">
              <w:rPr>
                <w:sz w:val="20"/>
                <w:szCs w:val="20"/>
              </w:rPr>
              <w:t xml:space="preserve">is not due to cost but community </w:t>
            </w:r>
            <w:r w:rsidR="00C40624" w:rsidRPr="00C40624">
              <w:rPr>
                <w:sz w:val="20"/>
                <w:szCs w:val="20"/>
              </w:rPr>
              <w:t>decisions</w:t>
            </w:r>
            <w:r w:rsidR="008A524B" w:rsidRPr="00C40624">
              <w:rPr>
                <w:sz w:val="20"/>
                <w:szCs w:val="20"/>
              </w:rPr>
              <w:t xml:space="preserve">. In </w:t>
            </w:r>
            <w:r w:rsidR="00D57548" w:rsidRPr="00C40624">
              <w:rPr>
                <w:sz w:val="20"/>
                <w:szCs w:val="20"/>
              </w:rPr>
              <w:t>addition,</w:t>
            </w:r>
            <w:r w:rsidR="008A524B" w:rsidRPr="00C40624">
              <w:rPr>
                <w:sz w:val="20"/>
                <w:szCs w:val="20"/>
              </w:rPr>
              <w:t xml:space="preserve"> we have also increased the subsidy for external clubs and organised more events within school for our </w:t>
            </w:r>
            <w:r w:rsidR="008A524B" w:rsidRPr="00683C56">
              <w:rPr>
                <w:sz w:val="20"/>
                <w:szCs w:val="20"/>
              </w:rPr>
              <w:t>PP children with no cost to parents, for example a morning ice skating</w:t>
            </w:r>
            <w:r w:rsidR="00D57548" w:rsidRPr="00683C56">
              <w:rPr>
                <w:sz w:val="20"/>
                <w:szCs w:val="20"/>
              </w:rPr>
              <w:t xml:space="preserve"> or ten pin bowling. </w:t>
            </w:r>
            <w:r w:rsidR="00683C56" w:rsidRPr="00683C56">
              <w:rPr>
                <w:sz w:val="20"/>
                <w:szCs w:val="20"/>
              </w:rPr>
              <w:t xml:space="preserve">We have vastly increased the number and variety of free, teacher run lunchtime clubs to enable wider participation and raised aspirations. However, it is not clear currently, whether disadvantaged </w:t>
            </w:r>
            <w:r w:rsidR="00683C56" w:rsidRPr="00683C56">
              <w:rPr>
                <w:sz w:val="20"/>
                <w:szCs w:val="20"/>
              </w:rPr>
              <w:lastRenderedPageBreak/>
              <w:t>children are attending or not. This will be a key measure for next year.</w:t>
            </w:r>
            <w:r w:rsidR="006B75AC">
              <w:rPr>
                <w:sz w:val="20"/>
                <w:szCs w:val="20"/>
              </w:rPr>
              <w:t xml:space="preserve"> The curriculum has been redesigned to include a trip or experience in each unit, again using best </w:t>
            </w:r>
            <w:r w:rsidR="005E4E2A">
              <w:rPr>
                <w:sz w:val="20"/>
                <w:szCs w:val="20"/>
              </w:rPr>
              <w:t>practice and direct input from curriculum experts such as Emma Turner and Tom Brassington. Curriculum planning and intention is now completed. Any measurable outcome with come after it has been delivered and refined.</w:t>
            </w:r>
          </w:p>
          <w:p w14:paraId="426D7D54" w14:textId="602A4659" w:rsidR="008A524B" w:rsidRPr="00742D8D" w:rsidRDefault="00742D8D" w:rsidP="008A524B">
            <w:pPr>
              <w:rPr>
                <w:b/>
                <w:sz w:val="20"/>
                <w:szCs w:val="20"/>
              </w:rPr>
            </w:pPr>
            <w:r>
              <w:rPr>
                <w:b/>
                <w:sz w:val="20"/>
                <w:szCs w:val="20"/>
              </w:rPr>
              <w:t>Outcome</w:t>
            </w:r>
            <w:r w:rsidR="008A524B" w:rsidRPr="00742D8D">
              <w:rPr>
                <w:b/>
                <w:sz w:val="20"/>
                <w:szCs w:val="20"/>
              </w:rPr>
              <w:t xml:space="preserve"> 4:</w:t>
            </w:r>
          </w:p>
          <w:p w14:paraId="7D6DD90D" w14:textId="32DA52A3" w:rsidR="008A524B" w:rsidRPr="00742D8D" w:rsidRDefault="008A524B" w:rsidP="008A524B">
            <w:pPr>
              <w:rPr>
                <w:b/>
                <w:sz w:val="20"/>
                <w:szCs w:val="20"/>
              </w:rPr>
            </w:pPr>
            <w:r w:rsidRPr="00742D8D">
              <w:rPr>
                <w:b/>
                <w:sz w:val="20"/>
                <w:szCs w:val="20"/>
              </w:rPr>
              <w:t>Absence &amp; persistent absentee rates are at least in line with national</w:t>
            </w:r>
            <w:r w:rsidR="00742D8D" w:rsidRPr="00742D8D">
              <w:rPr>
                <w:b/>
                <w:sz w:val="20"/>
                <w:szCs w:val="20"/>
              </w:rPr>
              <w:t>.</w:t>
            </w:r>
          </w:p>
          <w:p w14:paraId="580E521A" w14:textId="1DF074F0" w:rsidR="00786B12" w:rsidRDefault="00786B12" w:rsidP="00B11206">
            <w:pPr>
              <w:shd w:val="clear" w:color="auto" w:fill="FFFFFF"/>
              <w:suppressAutoHyphens w:val="0"/>
              <w:autoSpaceDN/>
              <w:spacing w:before="100" w:beforeAutospacing="1" w:after="75" w:line="240" w:lineRule="auto"/>
              <w:rPr>
                <w:rFonts w:cs="Arial"/>
                <w:color w:val="0B0C0C"/>
                <w:sz w:val="20"/>
                <w:szCs w:val="20"/>
              </w:rPr>
            </w:pPr>
            <w:r w:rsidRPr="00B11206">
              <w:rPr>
                <w:sz w:val="20"/>
                <w:szCs w:val="20"/>
              </w:rPr>
              <w:t xml:space="preserve">National absence rates national for all primary school children was </w:t>
            </w:r>
            <w:r w:rsidRPr="00786B12">
              <w:rPr>
                <w:rFonts w:cs="Arial"/>
                <w:color w:val="0B0C0C"/>
                <w:sz w:val="20"/>
                <w:szCs w:val="20"/>
              </w:rPr>
              <w:t>7.5% in state-funded primary schools (3.6% authorised and 3.9% unauthorised)</w:t>
            </w:r>
          </w:p>
          <w:p w14:paraId="2CC2E871" w14:textId="34C05D67" w:rsidR="00B11206" w:rsidRDefault="00B11206" w:rsidP="00B11206">
            <w:pPr>
              <w:shd w:val="clear" w:color="auto" w:fill="FFFFFF"/>
              <w:suppressAutoHyphens w:val="0"/>
              <w:autoSpaceDN/>
              <w:spacing w:before="100" w:beforeAutospacing="1" w:after="75" w:line="240" w:lineRule="auto"/>
              <w:rPr>
                <w:rFonts w:cs="Arial"/>
                <w:color w:val="0B0C0C"/>
                <w:sz w:val="20"/>
                <w:szCs w:val="20"/>
              </w:rPr>
            </w:pPr>
            <w:r w:rsidRPr="00B11206">
              <w:rPr>
                <w:rFonts w:cs="Arial"/>
                <w:color w:val="0B0C0C"/>
                <w:sz w:val="20"/>
                <w:szCs w:val="20"/>
              </w:rPr>
              <w:t>In school</w:t>
            </w:r>
            <w:r>
              <w:rPr>
                <w:rFonts w:cs="Arial"/>
                <w:color w:val="0B0C0C"/>
                <w:sz w:val="20"/>
                <w:szCs w:val="20"/>
              </w:rPr>
              <w:t>,</w:t>
            </w:r>
            <w:r w:rsidRPr="00B11206">
              <w:rPr>
                <w:rFonts w:cs="Arial"/>
                <w:color w:val="0B0C0C"/>
                <w:sz w:val="20"/>
                <w:szCs w:val="20"/>
              </w:rPr>
              <w:t xml:space="preserve"> absence rates </w:t>
            </w:r>
            <w:r>
              <w:rPr>
                <w:rFonts w:cs="Arial"/>
                <w:color w:val="0B0C0C"/>
                <w:sz w:val="20"/>
                <w:szCs w:val="20"/>
              </w:rPr>
              <w:t>for non-disadvantages in school was 4.2%</w:t>
            </w:r>
          </w:p>
          <w:p w14:paraId="3A1901F2" w14:textId="77777777" w:rsidR="00742D8D" w:rsidRDefault="00B11206" w:rsidP="00742D8D">
            <w:pPr>
              <w:shd w:val="clear" w:color="auto" w:fill="FFFFFF"/>
              <w:suppressAutoHyphens w:val="0"/>
              <w:autoSpaceDN/>
              <w:spacing w:before="100" w:beforeAutospacing="1" w:after="75" w:line="240" w:lineRule="auto"/>
              <w:rPr>
                <w:rFonts w:cs="Arial"/>
                <w:color w:val="0B0C0C"/>
                <w:sz w:val="20"/>
                <w:szCs w:val="20"/>
              </w:rPr>
            </w:pPr>
            <w:r>
              <w:rPr>
                <w:rFonts w:cs="Arial"/>
                <w:color w:val="0B0C0C"/>
                <w:sz w:val="20"/>
                <w:szCs w:val="20"/>
              </w:rPr>
              <w:t>In school, absence rates for pupil premium children was 7.6%</w:t>
            </w:r>
            <w:r w:rsidR="00742D8D">
              <w:rPr>
                <w:rFonts w:cs="Arial"/>
                <w:color w:val="0B0C0C"/>
                <w:sz w:val="20"/>
                <w:szCs w:val="20"/>
              </w:rPr>
              <w:t>.</w:t>
            </w:r>
          </w:p>
          <w:p w14:paraId="2F2F0E66" w14:textId="11F54E74" w:rsidR="00742D8D" w:rsidRPr="00742D8D" w:rsidRDefault="00742D8D" w:rsidP="00742D8D">
            <w:pPr>
              <w:shd w:val="clear" w:color="auto" w:fill="FFFFFF"/>
              <w:suppressAutoHyphens w:val="0"/>
              <w:autoSpaceDN/>
              <w:spacing w:before="100" w:beforeAutospacing="1" w:after="75" w:line="240" w:lineRule="auto"/>
              <w:rPr>
                <w:sz w:val="20"/>
                <w:szCs w:val="20"/>
              </w:rPr>
            </w:pPr>
            <w:r w:rsidRPr="00742D8D">
              <w:rPr>
                <w:sz w:val="20"/>
                <w:szCs w:val="20"/>
              </w:rPr>
              <w:t>P</w:t>
            </w:r>
            <w:r w:rsidR="008A524B" w:rsidRPr="00742D8D">
              <w:rPr>
                <w:sz w:val="20"/>
                <w:szCs w:val="20"/>
              </w:rPr>
              <w:t>ersistent absence was significantly higher amongst disadvantaged pupils. The gaps are larger than in previous years</w:t>
            </w:r>
            <w:r w:rsidRPr="00742D8D">
              <w:rPr>
                <w:sz w:val="20"/>
                <w:szCs w:val="20"/>
              </w:rPr>
              <w:t xml:space="preserve"> which reflects the improved attendance of non-disadvantaged pupils more than a deterioration in pupil premium attendances.</w:t>
            </w:r>
            <w:r>
              <w:rPr>
                <w:sz w:val="20"/>
                <w:szCs w:val="20"/>
              </w:rPr>
              <w:t xml:space="preserve"> Attendance of disadvantaged pupils in broadly in line with national attendance for all pupils.</w:t>
            </w:r>
          </w:p>
          <w:p w14:paraId="2A7D5546" w14:textId="4B0A13B8" w:rsidR="00722D61" w:rsidRPr="00A72F55" w:rsidRDefault="00742D8D" w:rsidP="00742D8D">
            <w:pPr>
              <w:shd w:val="clear" w:color="auto" w:fill="FFFFFF"/>
              <w:suppressAutoHyphens w:val="0"/>
              <w:autoSpaceDN/>
              <w:spacing w:before="100" w:beforeAutospacing="1" w:after="75" w:line="240" w:lineRule="auto"/>
              <w:rPr>
                <w:sz w:val="20"/>
                <w:szCs w:val="20"/>
                <w:highlight w:val="yellow"/>
              </w:rPr>
            </w:pPr>
            <w:r w:rsidRPr="00742D8D">
              <w:rPr>
                <w:sz w:val="20"/>
                <w:szCs w:val="20"/>
              </w:rPr>
              <w:t>For the next cycle, a closer relationship with Hunter’s Bar Infant School as well as strengthening the link with the Attendance and Inclusion department of Sheffield LA will drive improvements in attendance.</w:t>
            </w:r>
            <w:r w:rsidR="001F1ACF" w:rsidRPr="00742D8D">
              <w:rPr>
                <w:sz w:val="20"/>
                <w:szCs w:val="20"/>
              </w:rPr>
              <w:t xml:space="preserve"> </w:t>
            </w:r>
          </w:p>
        </w:tc>
      </w:tr>
    </w:tbl>
    <w:p w14:paraId="2A7D5548" w14:textId="77777777" w:rsidR="00E66558" w:rsidRPr="00936234" w:rsidRDefault="009D71E8">
      <w:pPr>
        <w:pStyle w:val="Heading2"/>
        <w:spacing w:before="600"/>
        <w:rPr>
          <w:sz w:val="20"/>
          <w:szCs w:val="20"/>
        </w:rPr>
      </w:pPr>
      <w:r w:rsidRPr="00936234">
        <w:rPr>
          <w:sz w:val="20"/>
          <w:szCs w:val="20"/>
        </w:rPr>
        <w:lastRenderedPageBreak/>
        <w:t>Externally provided programmes</w:t>
      </w:r>
    </w:p>
    <w:p w14:paraId="2A7D5549" w14:textId="77777777" w:rsidR="00E66558" w:rsidRPr="00936234" w:rsidRDefault="009D71E8">
      <w:pPr>
        <w:rPr>
          <w:i/>
          <w:iCs/>
          <w:sz w:val="20"/>
          <w:szCs w:val="20"/>
        </w:rPr>
      </w:pPr>
      <w:r w:rsidRPr="00936234">
        <w:rPr>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A72F55"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936234" w:rsidRDefault="009D71E8">
            <w:pPr>
              <w:pStyle w:val="TableHeader"/>
              <w:jc w:val="left"/>
              <w:rPr>
                <w:sz w:val="20"/>
                <w:szCs w:val="20"/>
              </w:rPr>
            </w:pPr>
            <w:r w:rsidRPr="00936234">
              <w:rPr>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936234" w:rsidRDefault="009D71E8">
            <w:pPr>
              <w:pStyle w:val="TableHeader"/>
              <w:jc w:val="left"/>
              <w:rPr>
                <w:sz w:val="20"/>
                <w:szCs w:val="20"/>
              </w:rPr>
            </w:pPr>
            <w:r w:rsidRPr="00936234">
              <w:rPr>
                <w:sz w:val="20"/>
                <w:szCs w:val="20"/>
              </w:rPr>
              <w:t>Provider</w:t>
            </w:r>
          </w:p>
        </w:tc>
      </w:tr>
      <w:tr w:rsidR="00722D61" w:rsidRPr="00A72F55" w14:paraId="0605C58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AA1FA" w14:textId="355E2A2C" w:rsidR="00722D61" w:rsidRPr="00936234" w:rsidRDefault="00722D61">
            <w:pPr>
              <w:pStyle w:val="TableRow"/>
              <w:rPr>
                <w:sz w:val="20"/>
                <w:szCs w:val="20"/>
              </w:rPr>
            </w:pPr>
            <w:r w:rsidRPr="00936234">
              <w:rPr>
                <w:sz w:val="20"/>
                <w:szCs w:val="20"/>
              </w:rPr>
              <w:t xml:space="preserve">1:1 Tutoring – </w:t>
            </w:r>
            <w:r w:rsidR="00D57548" w:rsidRPr="00936234">
              <w:rPr>
                <w:sz w:val="20"/>
                <w:szCs w:val="20"/>
              </w:rPr>
              <w:t>Third Space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BD79" w14:textId="64301B06" w:rsidR="00722D61" w:rsidRPr="00936234" w:rsidRDefault="00E240B1">
            <w:pPr>
              <w:pStyle w:val="TableRowCentered"/>
              <w:jc w:val="left"/>
              <w:rPr>
                <w:sz w:val="20"/>
              </w:rPr>
            </w:pPr>
            <w:r w:rsidRPr="00936234">
              <w:rPr>
                <w:sz w:val="20"/>
              </w:rPr>
              <w:t>Third Space Learning</w:t>
            </w:r>
          </w:p>
        </w:tc>
      </w:tr>
      <w:tr w:rsidR="00722D61" w:rsidRPr="00A72F55" w14:paraId="75D5D72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6B165" w14:textId="5EC1F79B" w:rsidR="00722D61" w:rsidRPr="00936234" w:rsidRDefault="00722D61">
            <w:pPr>
              <w:pStyle w:val="TableRow"/>
              <w:rPr>
                <w:sz w:val="20"/>
                <w:szCs w:val="20"/>
              </w:rPr>
            </w:pPr>
            <w:proofErr w:type="spellStart"/>
            <w:r w:rsidRPr="00936234">
              <w:rPr>
                <w:sz w:val="20"/>
                <w:szCs w:val="20"/>
              </w:rPr>
              <w:t>Nessy</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4A0E" w14:textId="018399B6" w:rsidR="00722D61" w:rsidRPr="00936234" w:rsidRDefault="00E240B1">
            <w:pPr>
              <w:pStyle w:val="TableRowCentered"/>
              <w:jc w:val="left"/>
              <w:rPr>
                <w:sz w:val="20"/>
              </w:rPr>
            </w:pPr>
            <w:r w:rsidRPr="00936234">
              <w:rPr>
                <w:sz w:val="20"/>
              </w:rPr>
              <w:t>Nessy.com</w:t>
            </w:r>
          </w:p>
        </w:tc>
      </w:tr>
      <w:tr w:rsidR="00722D61" w:rsidRPr="00A72F55" w14:paraId="1A31053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5936A" w14:textId="3831ADF8" w:rsidR="00722D61" w:rsidRPr="00936234" w:rsidRDefault="00722D61">
            <w:pPr>
              <w:pStyle w:val="TableRow"/>
              <w:rPr>
                <w:sz w:val="20"/>
                <w:szCs w:val="20"/>
              </w:rPr>
            </w:pPr>
            <w:r w:rsidRPr="00936234">
              <w:rPr>
                <w:sz w:val="20"/>
                <w:szCs w:val="20"/>
              </w:rPr>
              <w:t xml:space="preserve">Times Table </w:t>
            </w:r>
            <w:proofErr w:type="spellStart"/>
            <w:r w:rsidRPr="00936234">
              <w:rPr>
                <w:sz w:val="20"/>
                <w:szCs w:val="20"/>
              </w:rPr>
              <w:t>Rockstars</w:t>
            </w:r>
            <w:proofErr w:type="spellEnd"/>
            <w:r w:rsidR="00E240B1" w:rsidRPr="00936234">
              <w:rPr>
                <w:sz w:val="20"/>
                <w:szCs w:val="20"/>
              </w:rPr>
              <w:t xml:space="preserve"> and </w:t>
            </w:r>
            <w:proofErr w:type="spellStart"/>
            <w:r w:rsidR="00E240B1" w:rsidRPr="00936234">
              <w:rPr>
                <w:sz w:val="20"/>
                <w:szCs w:val="20"/>
              </w:rPr>
              <w:t>Numbots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FAA8" w14:textId="479BAD97" w:rsidR="00722D61" w:rsidRPr="00936234" w:rsidRDefault="00E240B1">
            <w:pPr>
              <w:pStyle w:val="TableRowCentered"/>
              <w:jc w:val="left"/>
              <w:rPr>
                <w:sz w:val="20"/>
              </w:rPr>
            </w:pPr>
            <w:r w:rsidRPr="00936234">
              <w:rPr>
                <w:sz w:val="20"/>
              </w:rPr>
              <w:t>Maths Circle</w:t>
            </w:r>
          </w:p>
        </w:tc>
      </w:tr>
      <w:tr w:rsidR="00722D61" w:rsidRPr="004A56C6" w14:paraId="5E98EA4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365E" w14:textId="2AE4304D" w:rsidR="00722D61" w:rsidRPr="00936234" w:rsidRDefault="00E240B1">
            <w:pPr>
              <w:pStyle w:val="TableRow"/>
              <w:rPr>
                <w:sz w:val="20"/>
                <w:szCs w:val="20"/>
              </w:rPr>
            </w:pPr>
            <w:r w:rsidRPr="00936234">
              <w:rPr>
                <w:sz w:val="20"/>
                <w:szCs w:val="20"/>
              </w:rPr>
              <w:t xml:space="preserve">Online </w:t>
            </w:r>
            <w:proofErr w:type="spellStart"/>
            <w:r w:rsidRPr="00936234">
              <w:rPr>
                <w:sz w:val="20"/>
                <w:szCs w:val="20"/>
              </w:rPr>
              <w:t>electonic</w:t>
            </w:r>
            <w:proofErr w:type="spellEnd"/>
            <w:r w:rsidRPr="00936234">
              <w:rPr>
                <w:sz w:val="20"/>
                <w:szCs w:val="20"/>
              </w:rPr>
              <w:t xml:space="preserve"> Tutor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DA67D" w14:textId="34393BA0" w:rsidR="00722D61" w:rsidRPr="00936234" w:rsidRDefault="00E240B1">
            <w:pPr>
              <w:pStyle w:val="TableRowCentered"/>
              <w:jc w:val="left"/>
              <w:rPr>
                <w:sz w:val="20"/>
              </w:rPr>
            </w:pPr>
            <w:r w:rsidRPr="00936234">
              <w:rPr>
                <w:sz w:val="20"/>
              </w:rPr>
              <w:t>Complete Maths</w:t>
            </w:r>
          </w:p>
        </w:tc>
      </w:tr>
      <w:bookmarkEnd w:id="14"/>
      <w:bookmarkEnd w:id="15"/>
      <w:bookmarkEnd w:id="17"/>
    </w:tbl>
    <w:p w14:paraId="4E8AD335" w14:textId="14E0E935" w:rsidR="008A524B" w:rsidRPr="004A56C6" w:rsidRDefault="008A524B">
      <w:pPr>
        <w:rPr>
          <w:sz w:val="20"/>
          <w:szCs w:val="20"/>
        </w:rPr>
      </w:pPr>
    </w:p>
    <w:sectPr w:rsidR="008A524B" w:rsidRPr="004A56C6">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004467A1" w:rsidR="005E28A4" w:rsidRDefault="009D71E8">
    <w:pPr>
      <w:pStyle w:val="Footer"/>
      <w:ind w:firstLine="4513"/>
    </w:pPr>
    <w:r>
      <w:fldChar w:fldCharType="begin"/>
    </w:r>
    <w:r>
      <w:instrText xml:space="preserve"> PAGE </w:instrText>
    </w:r>
    <w:r>
      <w:fldChar w:fldCharType="separate"/>
    </w:r>
    <w:r w:rsidR="00E658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8C6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487F63"/>
    <w:multiLevelType w:val="hybridMultilevel"/>
    <w:tmpl w:val="BDA0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58B31E9"/>
    <w:multiLevelType w:val="multilevel"/>
    <w:tmpl w:val="F086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A3C0A"/>
    <w:multiLevelType w:val="hybridMultilevel"/>
    <w:tmpl w:val="0FD4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20A4B"/>
    <w:multiLevelType w:val="hybridMultilevel"/>
    <w:tmpl w:val="87F09DE8"/>
    <w:lvl w:ilvl="0" w:tplc="CC9ACA0A">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5C6567E0"/>
    <w:multiLevelType w:val="hybridMultilevel"/>
    <w:tmpl w:val="9304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923247"/>
    <w:multiLevelType w:val="hybridMultilevel"/>
    <w:tmpl w:val="213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390216B"/>
    <w:multiLevelType w:val="hybridMultilevel"/>
    <w:tmpl w:val="837E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7"/>
  </w:num>
  <w:num w:numId="5">
    <w:abstractNumId w:val="1"/>
  </w:num>
  <w:num w:numId="6">
    <w:abstractNumId w:val="8"/>
  </w:num>
  <w:num w:numId="7">
    <w:abstractNumId w:val="15"/>
  </w:num>
  <w:num w:numId="8">
    <w:abstractNumId w:val="20"/>
  </w:num>
  <w:num w:numId="9">
    <w:abstractNumId w:val="17"/>
  </w:num>
  <w:num w:numId="10">
    <w:abstractNumId w:val="16"/>
  </w:num>
  <w:num w:numId="11">
    <w:abstractNumId w:val="3"/>
  </w:num>
  <w:num w:numId="12">
    <w:abstractNumId w:val="18"/>
  </w:num>
  <w:num w:numId="13">
    <w:abstractNumId w:val="13"/>
  </w:num>
  <w:num w:numId="14">
    <w:abstractNumId w:val="0"/>
  </w:num>
  <w:num w:numId="15">
    <w:abstractNumId w:val="0"/>
  </w:num>
  <w:num w:numId="16">
    <w:abstractNumId w:val="14"/>
  </w:num>
  <w:num w:numId="17">
    <w:abstractNumId w:val="6"/>
  </w:num>
  <w:num w:numId="18">
    <w:abstractNumId w:val="19"/>
  </w:num>
  <w:num w:numId="19">
    <w:abstractNumId w:val="10"/>
  </w:num>
  <w:num w:numId="20">
    <w:abstractNumId w:val="12"/>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EE9"/>
    <w:rsid w:val="00035740"/>
    <w:rsid w:val="00054162"/>
    <w:rsid w:val="00066B73"/>
    <w:rsid w:val="000706D5"/>
    <w:rsid w:val="000A7C05"/>
    <w:rsid w:val="000B769F"/>
    <w:rsid w:val="000D41CE"/>
    <w:rsid w:val="000D7196"/>
    <w:rsid w:val="00120AB1"/>
    <w:rsid w:val="00145DE7"/>
    <w:rsid w:val="00156ECB"/>
    <w:rsid w:val="0018653D"/>
    <w:rsid w:val="001A018B"/>
    <w:rsid w:val="001D430F"/>
    <w:rsid w:val="001F1ACF"/>
    <w:rsid w:val="001F3038"/>
    <w:rsid w:val="00211938"/>
    <w:rsid w:val="00266699"/>
    <w:rsid w:val="00270468"/>
    <w:rsid w:val="002D4665"/>
    <w:rsid w:val="003615CE"/>
    <w:rsid w:val="00385D5D"/>
    <w:rsid w:val="003F776C"/>
    <w:rsid w:val="004044AA"/>
    <w:rsid w:val="00406348"/>
    <w:rsid w:val="004403DB"/>
    <w:rsid w:val="0047049E"/>
    <w:rsid w:val="00490278"/>
    <w:rsid w:val="004A56C6"/>
    <w:rsid w:val="004C225C"/>
    <w:rsid w:val="00561459"/>
    <w:rsid w:val="00572233"/>
    <w:rsid w:val="005870B3"/>
    <w:rsid w:val="005D545F"/>
    <w:rsid w:val="005D7DBB"/>
    <w:rsid w:val="005E4E2A"/>
    <w:rsid w:val="00622A58"/>
    <w:rsid w:val="00640511"/>
    <w:rsid w:val="00650062"/>
    <w:rsid w:val="006627CD"/>
    <w:rsid w:val="00665937"/>
    <w:rsid w:val="00673A30"/>
    <w:rsid w:val="0067462A"/>
    <w:rsid w:val="00683C56"/>
    <w:rsid w:val="006B75AC"/>
    <w:rsid w:val="006C0B45"/>
    <w:rsid w:val="006C2233"/>
    <w:rsid w:val="006E7FB1"/>
    <w:rsid w:val="00701AA1"/>
    <w:rsid w:val="00722D61"/>
    <w:rsid w:val="00741B9E"/>
    <w:rsid w:val="00742D8D"/>
    <w:rsid w:val="00786B12"/>
    <w:rsid w:val="007A13D6"/>
    <w:rsid w:val="007A36BD"/>
    <w:rsid w:val="007C2F04"/>
    <w:rsid w:val="007D0511"/>
    <w:rsid w:val="007E6C04"/>
    <w:rsid w:val="007F4C2D"/>
    <w:rsid w:val="008016CC"/>
    <w:rsid w:val="00833A9E"/>
    <w:rsid w:val="00875822"/>
    <w:rsid w:val="008A524B"/>
    <w:rsid w:val="008C2D62"/>
    <w:rsid w:val="008C6D34"/>
    <w:rsid w:val="008F4828"/>
    <w:rsid w:val="00936234"/>
    <w:rsid w:val="00940B13"/>
    <w:rsid w:val="00981D5C"/>
    <w:rsid w:val="00993745"/>
    <w:rsid w:val="009A13EE"/>
    <w:rsid w:val="009D369B"/>
    <w:rsid w:val="009D71E8"/>
    <w:rsid w:val="00A23D7C"/>
    <w:rsid w:val="00A319B7"/>
    <w:rsid w:val="00A72F55"/>
    <w:rsid w:val="00AA4201"/>
    <w:rsid w:val="00AA771B"/>
    <w:rsid w:val="00AD4011"/>
    <w:rsid w:val="00AD4FA8"/>
    <w:rsid w:val="00AE09E4"/>
    <w:rsid w:val="00B11206"/>
    <w:rsid w:val="00B3219C"/>
    <w:rsid w:val="00B615AD"/>
    <w:rsid w:val="00B629D2"/>
    <w:rsid w:val="00B669A7"/>
    <w:rsid w:val="00B82696"/>
    <w:rsid w:val="00BD07C4"/>
    <w:rsid w:val="00BD1CA0"/>
    <w:rsid w:val="00C17542"/>
    <w:rsid w:val="00C40624"/>
    <w:rsid w:val="00C416DE"/>
    <w:rsid w:val="00C660E2"/>
    <w:rsid w:val="00CB3C2E"/>
    <w:rsid w:val="00CB7955"/>
    <w:rsid w:val="00CC006A"/>
    <w:rsid w:val="00CC3AEB"/>
    <w:rsid w:val="00CC7D64"/>
    <w:rsid w:val="00D067D6"/>
    <w:rsid w:val="00D31D10"/>
    <w:rsid w:val="00D33138"/>
    <w:rsid w:val="00D33FE5"/>
    <w:rsid w:val="00D50DD1"/>
    <w:rsid w:val="00D57548"/>
    <w:rsid w:val="00D91A67"/>
    <w:rsid w:val="00D959D5"/>
    <w:rsid w:val="00DF4361"/>
    <w:rsid w:val="00E0352A"/>
    <w:rsid w:val="00E240B1"/>
    <w:rsid w:val="00E2453E"/>
    <w:rsid w:val="00E26F62"/>
    <w:rsid w:val="00E34A09"/>
    <w:rsid w:val="00E6586A"/>
    <w:rsid w:val="00E66558"/>
    <w:rsid w:val="00E707B0"/>
    <w:rsid w:val="00EC3FE1"/>
    <w:rsid w:val="00ED3B29"/>
    <w:rsid w:val="00EE6775"/>
    <w:rsid w:val="00EF1F0F"/>
    <w:rsid w:val="00FB0DEA"/>
    <w:rsid w:val="00FC24EF"/>
    <w:rsid w:val="00FF1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7Tablecopybulleted">
    <w:name w:val="7 Table copy bulleted"/>
    <w:basedOn w:val="Normal"/>
    <w:qFormat/>
    <w:rsid w:val="000A7C05"/>
    <w:pPr>
      <w:numPr>
        <w:numId w:val="14"/>
      </w:numPr>
      <w:suppressAutoHyphens w:val="0"/>
      <w:autoSpaceDN/>
      <w:spacing w:after="60" w:line="240" w:lineRule="auto"/>
    </w:pPr>
    <w:rPr>
      <w:rFonts w:eastAsia="MS Mincho"/>
      <w:color w:val="auto"/>
      <w:sz w:val="20"/>
      <w:lang w:val="en-US" w:eastAsia="en-US"/>
    </w:rPr>
  </w:style>
  <w:style w:type="paragraph" w:customStyle="1" w:styleId="7Tablebodycopy">
    <w:name w:val="7 Table body copy"/>
    <w:basedOn w:val="Normal"/>
    <w:qFormat/>
    <w:rsid w:val="00572233"/>
    <w:pPr>
      <w:suppressAutoHyphens w:val="0"/>
      <w:autoSpaceDN/>
      <w:spacing w:after="60" w:line="240" w:lineRule="auto"/>
    </w:pPr>
    <w:rPr>
      <w:rFonts w:eastAsia="MS Mincho"/>
      <w:color w:val="auto"/>
      <w:sz w:val="20"/>
      <w:lang w:val="en-US" w:eastAsia="en-US"/>
    </w:rPr>
  </w:style>
  <w:style w:type="character" w:styleId="UnresolvedMention">
    <w:name w:val="Unresolved Mention"/>
    <w:basedOn w:val="DefaultParagraphFont"/>
    <w:uiPriority w:val="99"/>
    <w:semiHidden/>
    <w:unhideWhenUsed/>
    <w:rsid w:val="00E707B0"/>
    <w:rPr>
      <w:color w:val="605E5C"/>
      <w:shd w:val="clear" w:color="auto" w:fill="E1DFDD"/>
    </w:rPr>
  </w:style>
  <w:style w:type="paragraph" w:styleId="NormalWeb">
    <w:name w:val="Normal (Web)"/>
    <w:basedOn w:val="Normal"/>
    <w:uiPriority w:val="99"/>
    <w:semiHidden/>
    <w:unhideWhenUsed/>
    <w:rsid w:val="005D545F"/>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7A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092">
      <w:bodyDiv w:val="1"/>
      <w:marLeft w:val="0"/>
      <w:marRight w:val="0"/>
      <w:marTop w:val="0"/>
      <w:marBottom w:val="0"/>
      <w:divBdr>
        <w:top w:val="none" w:sz="0" w:space="0" w:color="auto"/>
        <w:left w:val="none" w:sz="0" w:space="0" w:color="auto"/>
        <w:bottom w:val="none" w:sz="0" w:space="0" w:color="auto"/>
        <w:right w:val="none" w:sz="0" w:space="0" w:color="auto"/>
      </w:divBdr>
    </w:div>
    <w:div w:id="421099992">
      <w:bodyDiv w:val="1"/>
      <w:marLeft w:val="0"/>
      <w:marRight w:val="0"/>
      <w:marTop w:val="0"/>
      <w:marBottom w:val="0"/>
      <w:divBdr>
        <w:top w:val="none" w:sz="0" w:space="0" w:color="auto"/>
        <w:left w:val="none" w:sz="0" w:space="0" w:color="auto"/>
        <w:bottom w:val="none" w:sz="0" w:space="0" w:color="auto"/>
        <w:right w:val="none" w:sz="0" w:space="0" w:color="auto"/>
      </w:divBdr>
    </w:div>
    <w:div w:id="773403662">
      <w:bodyDiv w:val="1"/>
      <w:marLeft w:val="0"/>
      <w:marRight w:val="0"/>
      <w:marTop w:val="0"/>
      <w:marBottom w:val="0"/>
      <w:divBdr>
        <w:top w:val="none" w:sz="0" w:space="0" w:color="auto"/>
        <w:left w:val="none" w:sz="0" w:space="0" w:color="auto"/>
        <w:bottom w:val="none" w:sz="0" w:space="0" w:color="auto"/>
        <w:right w:val="none" w:sz="0" w:space="0" w:color="auto"/>
      </w:divBdr>
    </w:div>
    <w:div w:id="884221052">
      <w:bodyDiv w:val="1"/>
      <w:marLeft w:val="0"/>
      <w:marRight w:val="0"/>
      <w:marTop w:val="0"/>
      <w:marBottom w:val="0"/>
      <w:divBdr>
        <w:top w:val="none" w:sz="0" w:space="0" w:color="auto"/>
        <w:left w:val="none" w:sz="0" w:space="0" w:color="auto"/>
        <w:bottom w:val="none" w:sz="0" w:space="0" w:color="auto"/>
        <w:right w:val="none" w:sz="0" w:space="0" w:color="auto"/>
      </w:divBdr>
    </w:div>
    <w:div w:id="981932683">
      <w:bodyDiv w:val="1"/>
      <w:marLeft w:val="0"/>
      <w:marRight w:val="0"/>
      <w:marTop w:val="0"/>
      <w:marBottom w:val="0"/>
      <w:divBdr>
        <w:top w:val="none" w:sz="0" w:space="0" w:color="auto"/>
        <w:left w:val="none" w:sz="0" w:space="0" w:color="auto"/>
        <w:bottom w:val="none" w:sz="0" w:space="0" w:color="auto"/>
        <w:right w:val="none" w:sz="0" w:space="0" w:color="auto"/>
      </w:divBdr>
    </w:div>
    <w:div w:id="1118138436">
      <w:bodyDiv w:val="1"/>
      <w:marLeft w:val="0"/>
      <w:marRight w:val="0"/>
      <w:marTop w:val="0"/>
      <w:marBottom w:val="0"/>
      <w:divBdr>
        <w:top w:val="none" w:sz="0" w:space="0" w:color="auto"/>
        <w:left w:val="none" w:sz="0" w:space="0" w:color="auto"/>
        <w:bottom w:val="none" w:sz="0" w:space="0" w:color="auto"/>
        <w:right w:val="none" w:sz="0" w:space="0" w:color="auto"/>
      </w:divBdr>
    </w:div>
    <w:div w:id="1207833673">
      <w:bodyDiv w:val="1"/>
      <w:marLeft w:val="0"/>
      <w:marRight w:val="0"/>
      <w:marTop w:val="0"/>
      <w:marBottom w:val="0"/>
      <w:divBdr>
        <w:top w:val="none" w:sz="0" w:space="0" w:color="auto"/>
        <w:left w:val="none" w:sz="0" w:space="0" w:color="auto"/>
        <w:bottom w:val="none" w:sz="0" w:space="0" w:color="auto"/>
        <w:right w:val="none" w:sz="0" w:space="0" w:color="auto"/>
      </w:divBdr>
    </w:div>
    <w:div w:id="1282765952">
      <w:bodyDiv w:val="1"/>
      <w:marLeft w:val="0"/>
      <w:marRight w:val="0"/>
      <w:marTop w:val="0"/>
      <w:marBottom w:val="0"/>
      <w:divBdr>
        <w:top w:val="none" w:sz="0" w:space="0" w:color="auto"/>
        <w:left w:val="none" w:sz="0" w:space="0" w:color="auto"/>
        <w:bottom w:val="none" w:sz="0" w:space="0" w:color="auto"/>
        <w:right w:val="none" w:sz="0" w:space="0" w:color="auto"/>
      </w:divBdr>
    </w:div>
    <w:div w:id="1397241913">
      <w:bodyDiv w:val="1"/>
      <w:marLeft w:val="0"/>
      <w:marRight w:val="0"/>
      <w:marTop w:val="0"/>
      <w:marBottom w:val="0"/>
      <w:divBdr>
        <w:top w:val="none" w:sz="0" w:space="0" w:color="auto"/>
        <w:left w:val="none" w:sz="0" w:space="0" w:color="auto"/>
        <w:bottom w:val="none" w:sz="0" w:space="0" w:color="auto"/>
        <w:right w:val="none" w:sz="0" w:space="0" w:color="auto"/>
      </w:divBdr>
    </w:div>
    <w:div w:id="1449475013">
      <w:bodyDiv w:val="1"/>
      <w:marLeft w:val="0"/>
      <w:marRight w:val="0"/>
      <w:marTop w:val="0"/>
      <w:marBottom w:val="0"/>
      <w:divBdr>
        <w:top w:val="none" w:sz="0" w:space="0" w:color="auto"/>
        <w:left w:val="none" w:sz="0" w:space="0" w:color="auto"/>
        <w:bottom w:val="none" w:sz="0" w:space="0" w:color="auto"/>
        <w:right w:val="none" w:sz="0" w:space="0" w:color="auto"/>
      </w:divBdr>
    </w:div>
    <w:div w:id="1923249937">
      <w:bodyDiv w:val="1"/>
      <w:marLeft w:val="0"/>
      <w:marRight w:val="0"/>
      <w:marTop w:val="0"/>
      <w:marBottom w:val="0"/>
      <w:divBdr>
        <w:top w:val="none" w:sz="0" w:space="0" w:color="auto"/>
        <w:left w:val="none" w:sz="0" w:space="0" w:color="auto"/>
        <w:bottom w:val="none" w:sz="0" w:space="0" w:color="auto"/>
        <w:right w:val="none" w:sz="0" w:space="0" w:color="auto"/>
      </w:divBdr>
    </w:div>
    <w:div w:id="2030833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teaching-assista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phonics" TargetMode="External"/><Relationship Id="rId12" Type="http://schemas.openxmlformats.org/officeDocument/2006/relationships/hyperlink" Target="https://schoolleaders.thekeysupport.com/pupils-and-parents/absence-and-attendance/strategies-for-managing-attendance/research-into-how-attendance-can-impact-attain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uwt.org.uk/advice/in-the-classroom/children-and-young-people/community-cohesio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1020249/Promoting_children_and_young_people_s_mental_health_and_wellbeing.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phonics%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11</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David Preston</cp:lastModifiedBy>
  <cp:revision>13</cp:revision>
  <cp:lastPrinted>2021-11-24T14:05:00Z</cp:lastPrinted>
  <dcterms:created xsi:type="dcterms:W3CDTF">2023-12-01T12:03:00Z</dcterms:created>
  <dcterms:modified xsi:type="dcterms:W3CDTF">2023-12-12T10:57:00Z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